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BC78E5" w14:textId="77777777" w:rsidR="0026480C" w:rsidRDefault="00A75A3B">
      <w:pPr>
        <w:pStyle w:val="BodyText"/>
        <w:ind w:left="2943"/>
        <w:rPr>
          <w:rFonts w:ascii="Times New Roman"/>
          <w:sz w:val="20"/>
        </w:rPr>
      </w:pPr>
      <w:r>
        <w:rPr>
          <w:rFonts w:ascii="Times New Roman" w:eastAsia="Times New Roman" w:hAnsi="Times New Roman" w:cs="Times New Roman"/>
          <w:noProof/>
          <w:sz w:val="20"/>
          <w:lang w:bidi="fr-CA"/>
        </w:rPr>
        <w:drawing>
          <wp:inline distT="0" distB="0" distL="0" distR="0" wp14:anchorId="22BC791C" wp14:editId="22BC791D">
            <wp:extent cx="2345741" cy="87172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2345741" cy="871727"/>
                    </a:xfrm>
                    <a:prstGeom prst="rect">
                      <a:avLst/>
                    </a:prstGeom>
                  </pic:spPr>
                </pic:pic>
              </a:graphicData>
            </a:graphic>
          </wp:inline>
        </w:drawing>
      </w:r>
    </w:p>
    <w:p w14:paraId="22BC78E6" w14:textId="77777777" w:rsidR="0026480C" w:rsidRDefault="0026480C">
      <w:pPr>
        <w:pStyle w:val="BodyText"/>
        <w:rPr>
          <w:rFonts w:ascii="Times New Roman"/>
          <w:sz w:val="20"/>
        </w:rPr>
      </w:pPr>
    </w:p>
    <w:p w14:paraId="22BC78EA" w14:textId="48490003" w:rsidR="0026480C" w:rsidRPr="00FB2F8F" w:rsidRDefault="00FB2F8F" w:rsidP="00FB2F8F">
      <w:pPr>
        <w:spacing w:before="44"/>
        <w:ind w:left="120"/>
        <w:jc w:val="center"/>
        <w:rPr>
          <w:rFonts w:ascii="Arial" w:hAnsi="Arial" w:cs="Arial"/>
          <w:b/>
        </w:rPr>
      </w:pPr>
      <w:r w:rsidRPr="00FB2F8F">
        <w:rPr>
          <w:rFonts w:ascii="Arial" w:eastAsia="Arial" w:hAnsi="Arial" w:cs="Arial"/>
          <w:b/>
          <w:lang w:bidi="fr-CA"/>
        </w:rPr>
        <w:t>Appel de candidatures au Groupe des communautés d’intérêts</w:t>
      </w:r>
    </w:p>
    <w:p w14:paraId="45454F29" w14:textId="77BC7A8D" w:rsidR="00FB2F8F" w:rsidRPr="00FB2F8F" w:rsidRDefault="00FB2F8F" w:rsidP="00FB2F8F">
      <w:pPr>
        <w:spacing w:before="44"/>
        <w:ind w:left="120"/>
        <w:jc w:val="center"/>
        <w:rPr>
          <w:rFonts w:ascii="Arial" w:hAnsi="Arial" w:cs="Arial"/>
          <w:b/>
        </w:rPr>
      </w:pPr>
      <w:r w:rsidRPr="00FB2F8F">
        <w:rPr>
          <w:rFonts w:ascii="Arial" w:eastAsia="Arial" w:hAnsi="Arial" w:cs="Arial"/>
          <w:b/>
          <w:lang w:bidi="fr-CA"/>
        </w:rPr>
        <w:t xml:space="preserve">Catégorie : </w:t>
      </w:r>
      <w:bookmarkStart w:id="0" w:name="_Hlk172291751"/>
      <w:r w:rsidRPr="00FB2F8F">
        <w:rPr>
          <w:rFonts w:ascii="Arial" w:eastAsia="Arial" w:hAnsi="Arial" w:cs="Arial"/>
          <w:b/>
          <w:lang w:bidi="fr-CA"/>
        </w:rPr>
        <w:t>Client de substances extraites des mines</w:t>
      </w:r>
      <w:bookmarkEnd w:id="0"/>
    </w:p>
    <w:p w14:paraId="7019C281" w14:textId="4302A4F4" w:rsidR="00B137F6" w:rsidRPr="00B137F6" w:rsidRDefault="00B137F6" w:rsidP="00A75A3B">
      <w:pPr>
        <w:pStyle w:val="BodyText"/>
        <w:spacing w:before="184"/>
        <w:ind w:right="156"/>
        <w:jc w:val="both"/>
        <w:rPr>
          <w:rFonts w:ascii="Arial" w:hAnsi="Arial" w:cs="Arial"/>
          <w:b/>
          <w:bCs/>
          <w:u w:val="single"/>
        </w:rPr>
      </w:pPr>
      <w:r w:rsidRPr="00B137F6">
        <w:rPr>
          <w:rFonts w:ascii="Arial" w:eastAsia="Arial" w:hAnsi="Arial" w:cs="Arial"/>
          <w:b/>
          <w:u w:val="single"/>
          <w:lang w:bidi="fr-CA"/>
        </w:rPr>
        <w:t>Aperçu</w:t>
      </w:r>
    </w:p>
    <w:p w14:paraId="53FC1696" w14:textId="4C72F1E7" w:rsidR="00A17E1F" w:rsidRDefault="00A75A3B" w:rsidP="00A75A3B">
      <w:pPr>
        <w:pStyle w:val="BodyText"/>
        <w:spacing w:before="184"/>
        <w:ind w:right="156"/>
        <w:jc w:val="both"/>
        <w:rPr>
          <w:rFonts w:ascii="Arial" w:hAnsi="Arial" w:cs="Arial"/>
        </w:rPr>
      </w:pPr>
      <w:r w:rsidRPr="00FB2F8F">
        <w:rPr>
          <w:rFonts w:ascii="Arial" w:eastAsia="Arial" w:hAnsi="Arial" w:cs="Arial"/>
          <w:lang w:bidi="fr-CA"/>
        </w:rPr>
        <w:t xml:space="preserve">L’Association minière du Canada (AMC) est à la recherche de candidats pour siéger au Groupe des communautés d’intérêts (GCI) de l’initiative </w:t>
      </w:r>
      <w:r w:rsidRPr="00FB2F8F">
        <w:rPr>
          <w:rFonts w:ascii="Arial" w:eastAsia="Arial" w:hAnsi="Arial" w:cs="Arial"/>
          <w:i/>
          <w:lang w:bidi="fr-CA"/>
        </w:rPr>
        <w:t>Vers le développement minier durable</w:t>
      </w:r>
      <w:r w:rsidRPr="00FB2F8F">
        <w:rPr>
          <w:rFonts w:ascii="Arial" w:eastAsia="Arial" w:hAnsi="Arial" w:cs="Arial"/>
          <w:lang w:bidi="fr-CA"/>
        </w:rPr>
        <w:t xml:space="preserve"> (initiative</w:t>
      </w:r>
      <w:r w:rsidR="00B26B2A">
        <w:rPr>
          <w:rFonts w:ascii="Arial" w:eastAsia="Arial" w:hAnsi="Arial" w:cs="Arial"/>
          <w:lang w:bidi="fr-CA"/>
        </w:rPr>
        <w:t> </w:t>
      </w:r>
      <w:r w:rsidRPr="00FB2F8F">
        <w:rPr>
          <w:rFonts w:ascii="Arial" w:eastAsia="Arial" w:hAnsi="Arial" w:cs="Arial"/>
          <w:lang w:bidi="fr-CA"/>
        </w:rPr>
        <w:t xml:space="preserve">TSM). </w:t>
      </w:r>
    </w:p>
    <w:p w14:paraId="2FBFD3F4" w14:textId="106AA836" w:rsidR="00A17E1F" w:rsidRDefault="00D540C4" w:rsidP="00A75A3B">
      <w:pPr>
        <w:pStyle w:val="BodyText"/>
        <w:spacing w:before="184"/>
        <w:ind w:right="156"/>
        <w:jc w:val="both"/>
        <w:rPr>
          <w:rFonts w:ascii="Arial" w:hAnsi="Arial" w:cs="Arial"/>
        </w:rPr>
      </w:pPr>
      <w:r>
        <w:rPr>
          <w:rFonts w:ascii="Arial" w:eastAsia="Arial" w:hAnsi="Arial" w:cs="Arial"/>
          <w:lang w:bidi="fr-CA"/>
        </w:rPr>
        <w:t xml:space="preserve">L’initiative TSM représente l’engagement de l’AMC à l’égard du développement minier durable. L’initiative TSM, dont la participation est obligatoire pour tous les membres de l’AMC qui exploitent des sites de développement minier au Canada, exige l’évaluation, la vérification indépendante et la publication d’indicateurs de performance distincts axés sur les principaux domaines de performance sociale et environnementale. Bien que l’initiative TSM ait été créée au Canada, des associations minières du monde entier la mettent maintenant en œuvre. </w:t>
      </w:r>
      <w:hyperlink r:id="rId10" w:history="1">
        <w:r w:rsidRPr="00B82EF6">
          <w:rPr>
            <w:rStyle w:val="Hyperlink"/>
            <w:rFonts w:ascii="Arial" w:eastAsia="Arial" w:hAnsi="Arial" w:cs="Arial"/>
            <w:lang w:bidi="fr-CA"/>
          </w:rPr>
          <w:t>Cliquez ici pour en savoir plus sur l’initiative TSM</w:t>
        </w:r>
      </w:hyperlink>
      <w:r>
        <w:rPr>
          <w:rFonts w:ascii="Arial" w:eastAsia="Arial" w:hAnsi="Arial" w:cs="Arial"/>
          <w:lang w:bidi="fr-CA"/>
        </w:rPr>
        <w:t>.</w:t>
      </w:r>
    </w:p>
    <w:p w14:paraId="22BC78ED" w14:textId="07EB5529" w:rsidR="0026480C" w:rsidRPr="00FB2F8F" w:rsidRDefault="00E85981" w:rsidP="00A75A3B">
      <w:pPr>
        <w:pStyle w:val="BodyText"/>
        <w:spacing w:before="184"/>
        <w:ind w:right="156"/>
        <w:jc w:val="both"/>
        <w:rPr>
          <w:rFonts w:ascii="Arial" w:hAnsi="Arial" w:cs="Arial"/>
        </w:rPr>
      </w:pPr>
      <w:r>
        <w:rPr>
          <w:rFonts w:ascii="Arial" w:eastAsia="Arial" w:hAnsi="Arial" w:cs="Arial"/>
          <w:lang w:bidi="fr-CA"/>
        </w:rPr>
        <w:t>Créé en 2004, le GCI joue un rôle décisionnel impartial pour le conseil d’administration de l’AMC en ce qui concerne la conception et la mise en œuvre de l’initiative TSM. Il offre également un important forum de dialogue entre l’AMC et ses communautés d’intérêts au Canada.</w:t>
      </w:r>
    </w:p>
    <w:p w14:paraId="22BC78EE" w14:textId="77777777" w:rsidR="0026480C" w:rsidRPr="00FB2F8F" w:rsidRDefault="0026480C" w:rsidP="00A75A3B">
      <w:pPr>
        <w:pStyle w:val="BodyText"/>
        <w:spacing w:before="12"/>
        <w:jc w:val="both"/>
        <w:rPr>
          <w:rFonts w:ascii="Arial" w:hAnsi="Arial" w:cs="Arial"/>
        </w:rPr>
      </w:pPr>
    </w:p>
    <w:p w14:paraId="22BC78EF" w14:textId="6A2EB715" w:rsidR="0026480C" w:rsidRPr="00FB2F8F" w:rsidRDefault="00A75A3B" w:rsidP="00A75A3B">
      <w:pPr>
        <w:pStyle w:val="BodyText"/>
        <w:jc w:val="both"/>
        <w:rPr>
          <w:rFonts w:ascii="Arial" w:hAnsi="Arial" w:cs="Arial"/>
        </w:rPr>
      </w:pPr>
      <w:r w:rsidRPr="00FB2F8F">
        <w:rPr>
          <w:rFonts w:ascii="Arial" w:eastAsia="Arial" w:hAnsi="Arial" w:cs="Arial"/>
          <w:lang w:bidi="fr-CA"/>
        </w:rPr>
        <w:t>Voici les objectifs du GCI :</w:t>
      </w:r>
    </w:p>
    <w:p w14:paraId="0267E697" w14:textId="77777777" w:rsidR="0086057E" w:rsidRPr="0086057E" w:rsidRDefault="0086057E" w:rsidP="0086057E">
      <w:pPr>
        <w:pStyle w:val="BodyText"/>
        <w:numPr>
          <w:ilvl w:val="0"/>
          <w:numId w:val="3"/>
        </w:numPr>
        <w:spacing w:before="12"/>
        <w:jc w:val="both"/>
        <w:rPr>
          <w:rFonts w:ascii="Arial" w:hAnsi="Arial" w:cs="Arial"/>
        </w:rPr>
      </w:pPr>
      <w:r w:rsidRPr="0086057E">
        <w:rPr>
          <w:rFonts w:ascii="Arial" w:eastAsia="Arial" w:hAnsi="Arial" w:cs="Arial"/>
          <w:lang w:bidi="fr-CA"/>
        </w:rPr>
        <w:t>Cerner les enjeux prioritaires en matière de durabilité actuels et émergents dans le secteur minier canadien.</w:t>
      </w:r>
    </w:p>
    <w:p w14:paraId="6705E879" w14:textId="77777777" w:rsidR="0086057E" w:rsidRPr="0086057E" w:rsidRDefault="0086057E" w:rsidP="0086057E">
      <w:pPr>
        <w:pStyle w:val="BodyText"/>
        <w:numPr>
          <w:ilvl w:val="0"/>
          <w:numId w:val="3"/>
        </w:numPr>
        <w:spacing w:before="12"/>
        <w:jc w:val="both"/>
        <w:rPr>
          <w:rFonts w:ascii="Arial" w:hAnsi="Arial" w:cs="Arial"/>
        </w:rPr>
      </w:pPr>
      <w:r w:rsidRPr="0086057E">
        <w:rPr>
          <w:rFonts w:ascii="Arial" w:eastAsia="Arial" w:hAnsi="Arial" w:cs="Arial"/>
          <w:lang w:bidi="fr-CA"/>
        </w:rPr>
        <w:t>Recevoir des mises à jour de l’AMC concernant le rendement de l’industrie et les enjeux soulevés par les communautés d’intérêts, y compris ceux soulevés dans le cadre des processus d’engagement communautaire entrepris par les sociétés membres de l’AMC.</w:t>
      </w:r>
    </w:p>
    <w:p w14:paraId="68B45DF2" w14:textId="77777777" w:rsidR="0086057E" w:rsidRPr="0086057E" w:rsidRDefault="0086057E" w:rsidP="0086057E">
      <w:pPr>
        <w:pStyle w:val="BodyText"/>
        <w:numPr>
          <w:ilvl w:val="0"/>
          <w:numId w:val="3"/>
        </w:numPr>
        <w:spacing w:before="12"/>
        <w:jc w:val="both"/>
        <w:rPr>
          <w:rFonts w:ascii="Arial" w:hAnsi="Arial" w:cs="Arial"/>
        </w:rPr>
      </w:pPr>
      <w:r w:rsidRPr="0086057E">
        <w:rPr>
          <w:rFonts w:ascii="Arial" w:eastAsia="Arial" w:hAnsi="Arial" w:cs="Arial"/>
          <w:lang w:bidi="fr-CA"/>
        </w:rPr>
        <w:t>Offrir un espace de dialogue riche et éclairé. Offrir à l’AMC et à ses membres un espace pour échanger et obtenir des conseils sur les politiques et les approches de l’industrie.</w:t>
      </w:r>
    </w:p>
    <w:p w14:paraId="6A8504A6" w14:textId="77777777" w:rsidR="0086057E" w:rsidRPr="0086057E" w:rsidRDefault="0086057E" w:rsidP="0086057E">
      <w:pPr>
        <w:pStyle w:val="BodyText"/>
        <w:numPr>
          <w:ilvl w:val="0"/>
          <w:numId w:val="3"/>
        </w:numPr>
        <w:spacing w:before="12"/>
        <w:jc w:val="both"/>
        <w:rPr>
          <w:rFonts w:ascii="Arial" w:hAnsi="Arial" w:cs="Arial"/>
        </w:rPr>
      </w:pPr>
      <w:r w:rsidRPr="0086057E">
        <w:rPr>
          <w:rFonts w:ascii="Arial" w:eastAsia="Arial" w:hAnsi="Arial" w:cs="Arial"/>
          <w:lang w:bidi="fr-CA"/>
        </w:rPr>
        <w:t>Conseiller et encourager l’AMC et ses membres à améliorer et à élever les attentes en matière de conduite responsable des entreprises du secteur minier canadien.</w:t>
      </w:r>
    </w:p>
    <w:p w14:paraId="0C103830" w14:textId="15CCE04D" w:rsidR="0086057E" w:rsidRPr="0086057E" w:rsidRDefault="0086057E" w:rsidP="0086057E">
      <w:pPr>
        <w:pStyle w:val="BodyText"/>
        <w:numPr>
          <w:ilvl w:val="0"/>
          <w:numId w:val="3"/>
        </w:numPr>
        <w:spacing w:before="12"/>
        <w:jc w:val="both"/>
        <w:rPr>
          <w:rFonts w:ascii="Arial" w:hAnsi="Arial" w:cs="Arial"/>
        </w:rPr>
      </w:pPr>
      <w:r w:rsidRPr="0086057E">
        <w:rPr>
          <w:rFonts w:ascii="Arial" w:eastAsia="Arial" w:hAnsi="Arial" w:cs="Arial"/>
          <w:lang w:bidi="fr-CA"/>
        </w:rPr>
        <w:t>Examiner et approuver, en parallèle avec le conseil d’administration de l’AMC, les changements et les ajouts liés au développement et à la mise en œuvre continus de l’initiative</w:t>
      </w:r>
      <w:r w:rsidR="00B26B2A">
        <w:rPr>
          <w:rFonts w:ascii="Arial" w:eastAsia="Arial" w:hAnsi="Arial" w:cs="Arial"/>
          <w:lang w:bidi="fr-CA"/>
        </w:rPr>
        <w:t> </w:t>
      </w:r>
      <w:r w:rsidRPr="0086057E">
        <w:rPr>
          <w:rFonts w:ascii="Arial" w:eastAsia="Arial" w:hAnsi="Arial" w:cs="Arial"/>
          <w:lang w:bidi="fr-CA"/>
        </w:rPr>
        <w:t>TSM par les membres de l’AMC par l’entremise du service d’abonnement à l’initiative</w:t>
      </w:r>
      <w:r w:rsidR="00B26B2A">
        <w:rPr>
          <w:rFonts w:ascii="Arial" w:eastAsia="Arial" w:hAnsi="Arial" w:cs="Arial"/>
          <w:lang w:bidi="fr-CA"/>
        </w:rPr>
        <w:t> </w:t>
      </w:r>
      <w:r w:rsidRPr="0086057E">
        <w:rPr>
          <w:rFonts w:ascii="Arial" w:eastAsia="Arial" w:hAnsi="Arial" w:cs="Arial"/>
          <w:lang w:bidi="fr-CA"/>
        </w:rPr>
        <w:t>TSM de l’AMC.</w:t>
      </w:r>
    </w:p>
    <w:p w14:paraId="654841C8" w14:textId="77777777" w:rsidR="0086057E" w:rsidRPr="0086057E" w:rsidRDefault="0086057E" w:rsidP="0086057E">
      <w:pPr>
        <w:pStyle w:val="BodyText"/>
        <w:numPr>
          <w:ilvl w:val="0"/>
          <w:numId w:val="3"/>
        </w:numPr>
        <w:spacing w:before="12"/>
        <w:jc w:val="both"/>
        <w:rPr>
          <w:rFonts w:ascii="Arial" w:hAnsi="Arial" w:cs="Arial"/>
        </w:rPr>
      </w:pPr>
      <w:r w:rsidRPr="0086057E">
        <w:rPr>
          <w:rFonts w:ascii="Arial" w:eastAsia="Arial" w:hAnsi="Arial" w:cs="Arial"/>
          <w:lang w:bidi="fr-CA"/>
        </w:rPr>
        <w:t>Examiner régulièrement les résultats de la mise en œuvre de l’initiative TSM, y compris dans le cadre du processus d’examen après vérification.</w:t>
      </w:r>
    </w:p>
    <w:p w14:paraId="20108647" w14:textId="77777777" w:rsidR="0086057E" w:rsidRPr="0086057E" w:rsidRDefault="0086057E" w:rsidP="0086057E">
      <w:pPr>
        <w:pStyle w:val="BodyText"/>
        <w:numPr>
          <w:ilvl w:val="0"/>
          <w:numId w:val="3"/>
        </w:numPr>
        <w:spacing w:before="12"/>
        <w:jc w:val="both"/>
        <w:rPr>
          <w:rFonts w:ascii="Arial" w:hAnsi="Arial" w:cs="Arial"/>
        </w:rPr>
      </w:pPr>
      <w:r w:rsidRPr="0086057E">
        <w:rPr>
          <w:rFonts w:ascii="Arial" w:eastAsia="Arial" w:hAnsi="Arial" w:cs="Arial"/>
          <w:lang w:bidi="fr-CA"/>
        </w:rPr>
        <w:t>Contribuer à la compréhension et à l’atteinte des réalisations et des objectifs liés à l’initiative TSM par les communautés d’intérêts de l’AMC.</w:t>
      </w:r>
    </w:p>
    <w:p w14:paraId="22BC78F6" w14:textId="77777777" w:rsidR="0026480C" w:rsidRPr="00FB2F8F" w:rsidRDefault="0026480C" w:rsidP="00A75A3B">
      <w:pPr>
        <w:pStyle w:val="BodyText"/>
        <w:spacing w:before="12"/>
        <w:jc w:val="both"/>
        <w:rPr>
          <w:rFonts w:ascii="Arial" w:hAnsi="Arial" w:cs="Arial"/>
        </w:rPr>
      </w:pPr>
    </w:p>
    <w:p w14:paraId="22BC78F7" w14:textId="38DC9DC3" w:rsidR="0026480C" w:rsidRDefault="00A75A3B" w:rsidP="00A75A3B">
      <w:pPr>
        <w:pStyle w:val="BodyText"/>
        <w:ind w:right="157"/>
        <w:jc w:val="both"/>
        <w:rPr>
          <w:rFonts w:ascii="Arial" w:hAnsi="Arial" w:cs="Arial"/>
        </w:rPr>
      </w:pPr>
      <w:r w:rsidRPr="00FB2F8F">
        <w:rPr>
          <w:rFonts w:ascii="Arial" w:eastAsia="Arial" w:hAnsi="Arial" w:cs="Arial"/>
          <w:lang w:bidi="fr-CA"/>
        </w:rPr>
        <w:t>Le GCI est composé d’une douzaine de personnes respectées ne faisant pas partie de l’industrie minière qui représentent les principales communautés d’intérêts. Des représentants du conseil d’administration de l’AMC et un représentant de l’Association canadienne des prospecteurs et entrepreneurs participent</w:t>
      </w:r>
      <w:r w:rsidRPr="00FB2F8F">
        <w:rPr>
          <w:rFonts w:ascii="Cambria Math" w:eastAsia="Cambria Math" w:hAnsi="Cambria Math" w:cs="Cambria Math"/>
          <w:lang w:bidi="fr-CA"/>
        </w:rPr>
        <w:t xml:space="preserve"> </w:t>
      </w:r>
      <w:r w:rsidRPr="00FB2F8F">
        <w:rPr>
          <w:rFonts w:ascii="Arial" w:eastAsia="Arial" w:hAnsi="Arial" w:cs="Arial"/>
          <w:lang w:bidi="fr-CA"/>
        </w:rPr>
        <w:t>d’office au GCI.</w:t>
      </w:r>
    </w:p>
    <w:p w14:paraId="62016083" w14:textId="69E07F18" w:rsidR="00E722C5" w:rsidRDefault="00E722C5" w:rsidP="00A75A3B">
      <w:pPr>
        <w:pStyle w:val="BodyText"/>
        <w:ind w:left="119" w:right="157"/>
        <w:jc w:val="both"/>
        <w:rPr>
          <w:rFonts w:ascii="Arial" w:hAnsi="Arial" w:cs="Arial"/>
        </w:rPr>
      </w:pPr>
    </w:p>
    <w:p w14:paraId="22BC78F9" w14:textId="299569AF" w:rsidR="0026480C" w:rsidRPr="00FB2F8F" w:rsidRDefault="00A75A3B" w:rsidP="00A75A3B">
      <w:pPr>
        <w:pStyle w:val="BodyText"/>
        <w:ind w:right="159"/>
        <w:jc w:val="both"/>
        <w:rPr>
          <w:rFonts w:ascii="Arial" w:hAnsi="Arial" w:cs="Arial"/>
        </w:rPr>
      </w:pPr>
      <w:r w:rsidRPr="00FB2F8F">
        <w:rPr>
          <w:rFonts w:ascii="Arial" w:eastAsia="Arial" w:hAnsi="Arial" w:cs="Arial"/>
          <w:lang w:bidi="fr-CA"/>
        </w:rPr>
        <w:t xml:space="preserve">Le </w:t>
      </w:r>
      <w:r w:rsidR="00024476">
        <w:rPr>
          <w:rFonts w:ascii="Arial" w:eastAsia="Arial" w:hAnsi="Arial" w:cs="Arial"/>
          <w:spacing w:val="-12"/>
          <w:lang w:bidi="fr-CA"/>
        </w:rPr>
        <w:t xml:space="preserve">GCI </w:t>
      </w:r>
      <w:r w:rsidRPr="00FB2F8F">
        <w:rPr>
          <w:rFonts w:ascii="Arial" w:eastAsia="Arial" w:hAnsi="Arial" w:cs="Arial"/>
          <w:lang w:bidi="fr-CA"/>
        </w:rPr>
        <w:t xml:space="preserve">se réunit deux fois par année à différents endroits au Canada. Les membres du GCI sont également encouragés à participer à des groupes de travail et à d’autres activités intersessions. </w:t>
      </w:r>
      <w:hyperlink r:id="rId11" w:history="1">
        <w:r w:rsidR="00534D34" w:rsidRPr="00534D34">
          <w:rPr>
            <w:rStyle w:val="Hyperlink"/>
            <w:rFonts w:ascii="Arial" w:eastAsia="Arial" w:hAnsi="Arial" w:cs="Arial"/>
            <w:lang w:bidi="fr-CA"/>
          </w:rPr>
          <w:t>Cliquez ici pour en savoir plus sur le Groupe des communautés d’intérêts</w:t>
        </w:r>
      </w:hyperlink>
      <w:r w:rsidRPr="00FB2F8F">
        <w:rPr>
          <w:rFonts w:ascii="Arial" w:eastAsia="Arial" w:hAnsi="Arial" w:cs="Arial"/>
          <w:lang w:bidi="fr-CA"/>
        </w:rPr>
        <w:t>.</w:t>
      </w:r>
    </w:p>
    <w:p w14:paraId="22BC78FA" w14:textId="77777777" w:rsidR="0026480C" w:rsidRPr="00FB2F8F" w:rsidRDefault="0026480C" w:rsidP="00A75A3B">
      <w:pPr>
        <w:pStyle w:val="BodyText"/>
        <w:jc w:val="both"/>
        <w:rPr>
          <w:rFonts w:ascii="Arial" w:hAnsi="Arial" w:cs="Arial"/>
        </w:rPr>
      </w:pPr>
    </w:p>
    <w:p w14:paraId="22BC7900" w14:textId="77777777" w:rsidR="0026480C" w:rsidRPr="00FB2F8F" w:rsidRDefault="0026480C" w:rsidP="00A75A3B">
      <w:pPr>
        <w:pStyle w:val="BodyText"/>
        <w:jc w:val="both"/>
        <w:rPr>
          <w:rFonts w:ascii="Arial" w:hAnsi="Arial" w:cs="Arial"/>
        </w:rPr>
      </w:pPr>
    </w:p>
    <w:p w14:paraId="22BC7901" w14:textId="77777777" w:rsidR="0026480C" w:rsidRPr="00FB2F8F" w:rsidRDefault="0026480C" w:rsidP="00A75A3B">
      <w:pPr>
        <w:pStyle w:val="BodyText"/>
        <w:jc w:val="both"/>
        <w:rPr>
          <w:rFonts w:ascii="Arial" w:hAnsi="Arial" w:cs="Arial"/>
        </w:rPr>
      </w:pPr>
    </w:p>
    <w:p w14:paraId="22BC7902" w14:textId="77777777" w:rsidR="0026480C" w:rsidRPr="00FB2F8F" w:rsidRDefault="0026480C" w:rsidP="00A75A3B">
      <w:pPr>
        <w:pStyle w:val="BodyText"/>
        <w:spacing w:before="3"/>
        <w:jc w:val="both"/>
        <w:rPr>
          <w:rFonts w:ascii="Arial" w:hAnsi="Arial" w:cs="Arial"/>
        </w:rPr>
      </w:pPr>
    </w:p>
    <w:p w14:paraId="22BC7904" w14:textId="77777777" w:rsidR="0026480C" w:rsidRPr="00FB2F8F" w:rsidRDefault="0026480C" w:rsidP="00A75A3B">
      <w:pPr>
        <w:jc w:val="both"/>
        <w:rPr>
          <w:rFonts w:ascii="Arial" w:hAnsi="Arial" w:cs="Arial"/>
        </w:rPr>
        <w:sectPr w:rsidR="0026480C" w:rsidRPr="00FB2F8F" w:rsidSect="00906201">
          <w:type w:val="continuous"/>
          <w:pgSz w:w="12240" w:h="15840"/>
          <w:pgMar w:top="760" w:right="1280" w:bottom="280" w:left="1320" w:header="720" w:footer="720" w:gutter="0"/>
          <w:cols w:space="720"/>
        </w:sectPr>
      </w:pPr>
    </w:p>
    <w:p w14:paraId="22BC7906" w14:textId="37414402" w:rsidR="0026480C" w:rsidRPr="00FB2F8F" w:rsidRDefault="004024B8" w:rsidP="00A75A3B">
      <w:pPr>
        <w:pStyle w:val="BodyText"/>
        <w:ind w:left="120"/>
        <w:jc w:val="both"/>
        <w:rPr>
          <w:rFonts w:ascii="Arial" w:hAnsi="Arial" w:cs="Arial"/>
        </w:rPr>
      </w:pPr>
      <w:r>
        <w:rPr>
          <w:rFonts w:ascii="Arial" w:eastAsia="Arial" w:hAnsi="Arial" w:cs="Arial"/>
          <w:noProof/>
          <w:lang w:bidi="fr-CA"/>
        </w:rPr>
        <w:lastRenderedPageBreak/>
        <mc:AlternateContent>
          <mc:Choice Requires="wps">
            <w:drawing>
              <wp:inline distT="0" distB="0" distL="0" distR="0" wp14:anchorId="22BC7920" wp14:editId="44865039">
                <wp:extent cx="5981700" cy="2477069"/>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81700" cy="2477069"/>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E0344A" w14:textId="560B49E2" w:rsidR="004A5CA8" w:rsidRPr="00B137F6" w:rsidRDefault="004A5CA8" w:rsidP="00A75A3B">
                            <w:pPr>
                              <w:tabs>
                                <w:tab w:val="left" w:pos="839"/>
                                <w:tab w:val="left" w:pos="840"/>
                              </w:tabs>
                              <w:ind w:right="160"/>
                              <w:jc w:val="both"/>
                              <w:rPr>
                                <w:rFonts w:ascii="Arial" w:hAnsi="Arial" w:cs="Arial"/>
                                <w:b/>
                                <w:bCs/>
                                <w:u w:val="single"/>
                              </w:rPr>
                            </w:pPr>
                            <w:r w:rsidRPr="00B137F6">
                              <w:rPr>
                                <w:rFonts w:ascii="Arial" w:eastAsia="Arial" w:hAnsi="Arial" w:cs="Arial"/>
                                <w:b/>
                                <w:u w:val="single"/>
                                <w:lang w:bidi="fr-CA"/>
                              </w:rPr>
                              <w:t>Critère</w:t>
                            </w:r>
                          </w:p>
                          <w:p w14:paraId="7E80EDC0" w14:textId="77777777" w:rsidR="004A5CA8" w:rsidRPr="00B26B2A" w:rsidRDefault="004A5CA8" w:rsidP="00A75A3B">
                            <w:pPr>
                              <w:tabs>
                                <w:tab w:val="left" w:pos="839"/>
                                <w:tab w:val="left" w:pos="840"/>
                              </w:tabs>
                              <w:ind w:right="160"/>
                              <w:jc w:val="both"/>
                              <w:rPr>
                                <w:rFonts w:ascii="Arial" w:hAnsi="Arial" w:cs="Arial"/>
                                <w:sz w:val="12"/>
                                <w:szCs w:val="12"/>
                              </w:rPr>
                            </w:pPr>
                          </w:p>
                          <w:p w14:paraId="22BC7921" w14:textId="56121921" w:rsidR="0026480C" w:rsidRPr="002D06E7" w:rsidRDefault="00A75A3B" w:rsidP="00A75A3B">
                            <w:pPr>
                              <w:tabs>
                                <w:tab w:val="left" w:pos="839"/>
                                <w:tab w:val="left" w:pos="840"/>
                              </w:tabs>
                              <w:ind w:right="160"/>
                              <w:jc w:val="both"/>
                              <w:rPr>
                                <w:rFonts w:ascii="Arial" w:hAnsi="Arial" w:cs="Arial"/>
                              </w:rPr>
                            </w:pPr>
                            <w:r w:rsidRPr="002D06E7">
                              <w:rPr>
                                <w:rFonts w:ascii="Arial" w:eastAsia="Arial" w:hAnsi="Arial" w:cs="Arial"/>
                                <w:lang w:bidi="fr-CA"/>
                              </w:rPr>
                              <w:t xml:space="preserve">Le GCI est actuellement à la recherche de candidats pour la nouvelle catégorie </w:t>
                            </w:r>
                            <w:r w:rsidRPr="002D06E7">
                              <w:rPr>
                                <w:rFonts w:ascii="Arial" w:eastAsia="Arial" w:hAnsi="Arial" w:cs="Arial"/>
                                <w:b/>
                                <w:lang w:bidi="fr-CA"/>
                              </w:rPr>
                              <w:t>Client de substances extraites des mines</w:t>
                            </w:r>
                            <w:r w:rsidRPr="002D06E7">
                              <w:rPr>
                                <w:rFonts w:ascii="Arial" w:eastAsia="Arial" w:hAnsi="Arial" w:cs="Arial"/>
                                <w:lang w:bidi="fr-CA"/>
                              </w:rPr>
                              <w:t>. Qualités recherchées :</w:t>
                            </w:r>
                          </w:p>
                          <w:p w14:paraId="20BEA813" w14:textId="769CB588" w:rsidR="004A2034" w:rsidRPr="004A2034" w:rsidRDefault="004A2034" w:rsidP="004A2034">
                            <w:pPr>
                              <w:pStyle w:val="ListParagraph"/>
                              <w:numPr>
                                <w:ilvl w:val="0"/>
                                <w:numId w:val="2"/>
                              </w:numPr>
                              <w:rPr>
                                <w:rFonts w:ascii="Arial" w:hAnsi="Arial" w:cs="Arial"/>
                              </w:rPr>
                            </w:pPr>
                            <w:r w:rsidRPr="004A2034">
                              <w:rPr>
                                <w:rFonts w:ascii="Arial" w:eastAsia="Arial" w:hAnsi="Arial" w:cs="Arial"/>
                                <w:lang w:bidi="fr-CA"/>
                              </w:rPr>
                              <w:t>Expérience et compréhension des occasions, des défis et des priorités émergentes des clients que présentent les chaînes d’approvisionnement en minéraux et en métaux.</w:t>
                            </w:r>
                          </w:p>
                          <w:p w14:paraId="22BC7924" w14:textId="53887BBA" w:rsidR="0026480C" w:rsidRDefault="00B16D44" w:rsidP="00A75A3B">
                            <w:pPr>
                              <w:pStyle w:val="ListParagraph"/>
                              <w:numPr>
                                <w:ilvl w:val="0"/>
                                <w:numId w:val="2"/>
                              </w:numPr>
                              <w:tabs>
                                <w:tab w:val="left" w:pos="839"/>
                                <w:tab w:val="left" w:pos="840"/>
                              </w:tabs>
                              <w:ind w:right="160" w:hanging="359"/>
                              <w:rPr>
                                <w:rFonts w:ascii="Arial" w:hAnsi="Arial" w:cs="Arial"/>
                              </w:rPr>
                            </w:pPr>
                            <w:r>
                              <w:rPr>
                                <w:rFonts w:ascii="Arial" w:eastAsia="Arial" w:hAnsi="Arial" w:cs="Arial"/>
                                <w:lang w:bidi="fr-CA"/>
                              </w:rPr>
                              <w:t>Accès au point de vue des organisations qui achètent des substances extraites des mines.</w:t>
                            </w:r>
                          </w:p>
                          <w:p w14:paraId="05776F8F" w14:textId="6BF6F056" w:rsidR="00733EA7" w:rsidRPr="00B26B2A" w:rsidRDefault="00733EA7" w:rsidP="00733EA7">
                            <w:pPr>
                              <w:tabs>
                                <w:tab w:val="left" w:pos="839"/>
                                <w:tab w:val="left" w:pos="840"/>
                              </w:tabs>
                              <w:ind w:right="160"/>
                              <w:rPr>
                                <w:rFonts w:ascii="Arial" w:hAnsi="Arial" w:cs="Arial"/>
                                <w:sz w:val="12"/>
                                <w:szCs w:val="12"/>
                              </w:rPr>
                            </w:pPr>
                          </w:p>
                          <w:p w14:paraId="7B6F1384" w14:textId="4428A247" w:rsidR="00733EA7" w:rsidRPr="00733EA7" w:rsidRDefault="00733EA7" w:rsidP="00733EA7">
                            <w:pPr>
                              <w:tabs>
                                <w:tab w:val="left" w:pos="839"/>
                                <w:tab w:val="left" w:pos="840"/>
                              </w:tabs>
                              <w:ind w:right="160"/>
                              <w:rPr>
                                <w:rFonts w:ascii="Arial" w:hAnsi="Arial" w:cs="Arial"/>
                              </w:rPr>
                            </w:pPr>
                            <w:r>
                              <w:rPr>
                                <w:rFonts w:ascii="Arial" w:eastAsia="Arial" w:hAnsi="Arial" w:cs="Arial"/>
                                <w:lang w:bidi="fr-CA"/>
                              </w:rPr>
                              <w:t>Qualifications constituant un atout :</w:t>
                            </w:r>
                          </w:p>
                          <w:p w14:paraId="67DAA810" w14:textId="378DAE5D" w:rsidR="00733EA7" w:rsidRDefault="00733EA7" w:rsidP="00733EA7">
                            <w:pPr>
                              <w:pStyle w:val="ListParagraph"/>
                              <w:numPr>
                                <w:ilvl w:val="0"/>
                                <w:numId w:val="2"/>
                              </w:numPr>
                              <w:tabs>
                                <w:tab w:val="left" w:pos="839"/>
                                <w:tab w:val="left" w:pos="840"/>
                              </w:tabs>
                              <w:ind w:right="160" w:hanging="359"/>
                              <w:rPr>
                                <w:rFonts w:ascii="Arial" w:hAnsi="Arial" w:cs="Arial"/>
                              </w:rPr>
                            </w:pPr>
                            <w:r>
                              <w:rPr>
                                <w:rFonts w:ascii="Arial" w:eastAsia="Arial" w:hAnsi="Arial" w:cs="Arial"/>
                                <w:lang w:bidi="fr-CA"/>
                              </w:rPr>
                              <w:t>Participation active à des initiatives mondiales liées aux chaînes d’approvisionnement en minéraux et en métaux.</w:t>
                            </w:r>
                          </w:p>
                          <w:p w14:paraId="2A77BC3A" w14:textId="04209C7D" w:rsidR="004A5CA8" w:rsidRPr="00B26B2A" w:rsidRDefault="004A5CA8" w:rsidP="00A75A3B">
                            <w:pPr>
                              <w:tabs>
                                <w:tab w:val="left" w:pos="839"/>
                                <w:tab w:val="left" w:pos="840"/>
                              </w:tabs>
                              <w:ind w:right="160"/>
                              <w:jc w:val="both"/>
                              <w:rPr>
                                <w:rFonts w:ascii="Arial" w:hAnsi="Arial" w:cs="Arial"/>
                                <w:sz w:val="12"/>
                                <w:szCs w:val="12"/>
                              </w:rPr>
                            </w:pPr>
                          </w:p>
                          <w:p w14:paraId="72202AEB" w14:textId="5D0D6FE2" w:rsidR="004A5CA8" w:rsidRDefault="004A5CA8" w:rsidP="00A75A3B">
                            <w:pPr>
                              <w:tabs>
                                <w:tab w:val="left" w:pos="839"/>
                                <w:tab w:val="left" w:pos="840"/>
                              </w:tabs>
                              <w:ind w:right="160"/>
                              <w:jc w:val="both"/>
                              <w:rPr>
                                <w:rFonts w:ascii="Arial" w:hAnsi="Arial" w:cs="Arial"/>
                              </w:rPr>
                            </w:pPr>
                            <w:r>
                              <w:rPr>
                                <w:rFonts w:ascii="Arial" w:eastAsia="Arial" w:hAnsi="Arial" w:cs="Arial"/>
                                <w:lang w:bidi="fr-CA"/>
                              </w:rPr>
                              <w:t>Autres qualités souhaitées :</w:t>
                            </w:r>
                          </w:p>
                          <w:p w14:paraId="32A40FAD" w14:textId="25BA3D1A" w:rsidR="004A5CA8" w:rsidRPr="00FB2F8F" w:rsidRDefault="00832ED7" w:rsidP="00A75A3B">
                            <w:pPr>
                              <w:pStyle w:val="ListParagraph"/>
                              <w:numPr>
                                <w:ilvl w:val="0"/>
                                <w:numId w:val="2"/>
                              </w:numPr>
                              <w:tabs>
                                <w:tab w:val="left" w:pos="872"/>
                                <w:tab w:val="left" w:pos="873"/>
                              </w:tabs>
                              <w:spacing w:line="280" w:lineRule="exact"/>
                              <w:ind w:left="872" w:hanging="392"/>
                              <w:rPr>
                                <w:rFonts w:ascii="Arial" w:hAnsi="Arial" w:cs="Arial"/>
                              </w:rPr>
                            </w:pPr>
                            <w:r>
                              <w:rPr>
                                <w:rFonts w:ascii="Arial" w:eastAsia="Arial" w:hAnsi="Arial" w:cs="Arial"/>
                                <w:lang w:bidi="fr-CA"/>
                              </w:rPr>
                              <w:t>Volonté manifeste de s’engager de façon ouverte et constructive.</w:t>
                            </w:r>
                          </w:p>
                          <w:p w14:paraId="69E7DE2A" w14:textId="722CEF9F" w:rsidR="004A5CA8" w:rsidRPr="003064E0" w:rsidRDefault="00832ED7" w:rsidP="003064E0">
                            <w:pPr>
                              <w:pStyle w:val="ListParagraph"/>
                              <w:numPr>
                                <w:ilvl w:val="0"/>
                                <w:numId w:val="2"/>
                              </w:numPr>
                              <w:tabs>
                                <w:tab w:val="left" w:pos="872"/>
                                <w:tab w:val="left" w:pos="873"/>
                              </w:tabs>
                              <w:spacing w:before="1"/>
                              <w:ind w:left="872" w:hanging="392"/>
                              <w:rPr>
                                <w:rFonts w:ascii="Arial" w:hAnsi="Arial" w:cs="Arial"/>
                              </w:rPr>
                            </w:pPr>
                            <w:r>
                              <w:rPr>
                                <w:rFonts w:ascii="Arial" w:eastAsia="Arial" w:hAnsi="Arial" w:cs="Arial"/>
                                <w:lang w:bidi="fr-CA"/>
                              </w:rPr>
                              <w:t xml:space="preserve">Capacité à consacrer du temps et des efforts au travail du </w:t>
                            </w:r>
                            <w:r w:rsidR="00582CD2">
                              <w:rPr>
                                <w:rFonts w:ascii="Arial" w:eastAsia="Arial" w:hAnsi="Arial" w:cs="Arial"/>
                                <w:spacing w:val="-15"/>
                                <w:lang w:bidi="fr-CA"/>
                              </w:rPr>
                              <w:t>GCI</w:t>
                            </w:r>
                            <w:r>
                              <w:rPr>
                                <w:rFonts w:ascii="Arial" w:eastAsia="Arial" w:hAnsi="Arial" w:cs="Arial"/>
                                <w:lang w:bidi="fr-CA"/>
                              </w:rPr>
                              <w:t>.</w:t>
                            </w:r>
                          </w:p>
                        </w:txbxContent>
                      </wps:txbx>
                      <wps:bodyPr rot="0" vert="horz" wrap="square" lIns="0" tIns="0" rIns="0" bIns="0" anchor="t" anchorCtr="0" upright="1">
                        <a:noAutofit/>
                      </wps:bodyPr>
                    </wps:wsp>
                  </a:graphicData>
                </a:graphic>
              </wp:inline>
            </w:drawing>
          </mc:Choice>
          <mc:Fallback>
            <w:pict>
              <v:shapetype w14:anchorId="22BC7920" id="_x0000_t202" coordsize="21600,21600" o:spt="202" path="m,l,21600r21600,l21600,xe">
                <v:stroke joinstyle="miter"/>
                <v:path gradientshapeok="t" o:connecttype="rect"/>
              </v:shapetype>
              <v:shape id="Text Box 2" o:spid="_x0000_s1026" type="#_x0000_t202" style="width:471pt;height:19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" fillcolor="#d9d9d9" stroked="f">
                <v:path arrowok="t"/>
                <v:textbox inset="0,0,0,0">
                  <w:txbxContent>
                    <w:p w14:paraId="79E0344A" w14:textId="560B49E2" w:rsidR="004A5CA8" w:rsidRPr="00B137F6" w:rsidRDefault="004A5CA8" w:rsidP="00A75A3B">
                      <w:pPr>
                        <w:tabs>
                          <w:tab w:val="left" w:pos="839"/>
                          <w:tab w:val="left" w:pos="840"/>
                        </w:tabs>
                        <w:ind w:right="160"/>
                        <w:jc w:val="both"/>
                        <w:rPr>
                          <w:rFonts w:ascii="Arial" w:hAnsi="Arial" w:cs="Arial"/>
                          <w:b/>
                          <w:bCs/>
                          <w:u w:val="single"/>
                        </w:rPr>
                      </w:pPr>
                      <w:r w:rsidRPr="00B137F6">
                        <w:rPr>
                          <w:rFonts w:ascii="Arial" w:eastAsia="Arial" w:hAnsi="Arial" w:cs="Arial"/>
                          <w:b/>
                          <w:u w:val="single"/>
                          <w:lang w:bidi="fr-CA"/>
                        </w:rPr>
                        <w:t>Critère</w:t>
                      </w:r>
                    </w:p>
                    <w:p w14:paraId="7E80EDC0" w14:textId="77777777" w:rsidR="004A5CA8" w:rsidRPr="00B26B2A" w:rsidRDefault="004A5CA8" w:rsidP="00A75A3B">
                      <w:pPr>
                        <w:tabs>
                          <w:tab w:val="left" w:pos="839"/>
                          <w:tab w:val="left" w:pos="840"/>
                        </w:tabs>
                        <w:ind w:right="160"/>
                        <w:jc w:val="both"/>
                        <w:rPr>
                          <w:rFonts w:ascii="Arial" w:hAnsi="Arial" w:cs="Arial"/>
                          <w:sz w:val="12"/>
                          <w:szCs w:val="12"/>
                        </w:rPr>
                      </w:pPr>
                    </w:p>
                    <w:p w14:paraId="22BC7921" w14:textId="56121921" w:rsidR="0026480C" w:rsidRPr="002D06E7" w:rsidRDefault="00A75A3B" w:rsidP="00A75A3B">
                      <w:pPr>
                        <w:tabs>
                          <w:tab w:val="left" w:pos="839"/>
                          <w:tab w:val="left" w:pos="840"/>
                        </w:tabs>
                        <w:ind w:right="160"/>
                        <w:jc w:val="both"/>
                        <w:rPr>
                          <w:rFonts w:ascii="Arial" w:hAnsi="Arial" w:cs="Arial"/>
                        </w:rPr>
                      </w:pPr>
                      <w:r w:rsidRPr="002D06E7">
                        <w:rPr>
                          <w:rFonts w:ascii="Arial" w:eastAsia="Arial" w:hAnsi="Arial" w:cs="Arial"/>
                          <w:lang w:bidi="fr-CA"/>
                        </w:rPr>
                        <w:t xml:space="preserve">Le GCI est actuellement à la recherche de candidats pour la nouvelle catégorie </w:t>
                      </w:r>
                      <w:r w:rsidRPr="002D06E7">
                        <w:rPr>
                          <w:rFonts w:ascii="Arial" w:eastAsia="Arial" w:hAnsi="Arial" w:cs="Arial"/>
                          <w:b/>
                          <w:lang w:bidi="fr-CA"/>
                        </w:rPr>
                        <w:t>Client de substances extraites des mines</w:t>
                      </w:r>
                      <w:r w:rsidRPr="002D06E7">
                        <w:rPr>
                          <w:rFonts w:ascii="Arial" w:eastAsia="Arial" w:hAnsi="Arial" w:cs="Arial"/>
                          <w:lang w:bidi="fr-CA"/>
                        </w:rPr>
                        <w:t>. Qualités recherchées :</w:t>
                      </w:r>
                    </w:p>
                    <w:p w14:paraId="20BEA813" w14:textId="769CB588" w:rsidR="004A2034" w:rsidRPr="004A2034" w:rsidRDefault="004A2034" w:rsidP="004A2034">
                      <w:pPr>
                        <w:pStyle w:val="ListParagraph"/>
                        <w:numPr>
                          <w:ilvl w:val="0"/>
                          <w:numId w:val="2"/>
                        </w:numPr>
                        <w:rPr>
                          <w:rFonts w:ascii="Arial" w:hAnsi="Arial" w:cs="Arial"/>
                        </w:rPr>
                      </w:pPr>
                      <w:r w:rsidRPr="004A2034">
                        <w:rPr>
                          <w:rFonts w:ascii="Arial" w:eastAsia="Arial" w:hAnsi="Arial" w:cs="Arial"/>
                          <w:lang w:bidi="fr-CA"/>
                        </w:rPr>
                        <w:t>Expérience et compréhension des occasions, des défis et des priorités émergentes des clients que présentent les chaînes d’approvisionnement en minéraux et en métaux.</w:t>
                      </w:r>
                    </w:p>
                    <w:p w14:paraId="22BC7924" w14:textId="53887BBA" w:rsidR="0026480C" w:rsidRDefault="00B16D44" w:rsidP="00A75A3B">
                      <w:pPr>
                        <w:pStyle w:val="ListParagraph"/>
                        <w:numPr>
                          <w:ilvl w:val="0"/>
                          <w:numId w:val="2"/>
                        </w:numPr>
                        <w:tabs>
                          <w:tab w:val="left" w:pos="839"/>
                          <w:tab w:val="left" w:pos="840"/>
                        </w:tabs>
                        <w:ind w:right="160" w:hanging="359"/>
                        <w:rPr>
                          <w:rFonts w:ascii="Arial" w:hAnsi="Arial" w:cs="Arial"/>
                        </w:rPr>
                      </w:pPr>
                      <w:r>
                        <w:rPr>
                          <w:rFonts w:ascii="Arial" w:eastAsia="Arial" w:hAnsi="Arial" w:cs="Arial"/>
                          <w:lang w:bidi="fr-CA"/>
                        </w:rPr>
                        <w:t>Accès au point de vue des organisations qui achètent des substances extraites des mines.</w:t>
                      </w:r>
                    </w:p>
                    <w:p w14:paraId="05776F8F" w14:textId="6BF6F056" w:rsidR="00733EA7" w:rsidRPr="00B26B2A" w:rsidRDefault="00733EA7" w:rsidP="00733EA7">
                      <w:pPr>
                        <w:tabs>
                          <w:tab w:val="left" w:pos="839"/>
                          <w:tab w:val="left" w:pos="840"/>
                        </w:tabs>
                        <w:ind w:right="160"/>
                        <w:rPr>
                          <w:rFonts w:ascii="Arial" w:hAnsi="Arial" w:cs="Arial"/>
                          <w:sz w:val="12"/>
                          <w:szCs w:val="12"/>
                        </w:rPr>
                      </w:pPr>
                    </w:p>
                    <w:p w14:paraId="7B6F1384" w14:textId="4428A247" w:rsidR="00733EA7" w:rsidRPr="00733EA7" w:rsidRDefault="00733EA7" w:rsidP="00733EA7">
                      <w:pPr>
                        <w:tabs>
                          <w:tab w:val="left" w:pos="839"/>
                          <w:tab w:val="left" w:pos="840"/>
                        </w:tabs>
                        <w:ind w:right="160"/>
                        <w:rPr>
                          <w:rFonts w:ascii="Arial" w:hAnsi="Arial" w:cs="Arial"/>
                        </w:rPr>
                      </w:pPr>
                      <w:r>
                        <w:rPr>
                          <w:rFonts w:ascii="Arial" w:eastAsia="Arial" w:hAnsi="Arial" w:cs="Arial"/>
                          <w:lang w:bidi="fr-CA"/>
                        </w:rPr>
                        <w:t>Qualifications constituant un atout :</w:t>
                      </w:r>
                    </w:p>
                    <w:p w14:paraId="67DAA810" w14:textId="378DAE5D" w:rsidR="00733EA7" w:rsidRDefault="00733EA7" w:rsidP="00733EA7">
                      <w:pPr>
                        <w:pStyle w:val="ListParagraph"/>
                        <w:numPr>
                          <w:ilvl w:val="0"/>
                          <w:numId w:val="2"/>
                        </w:numPr>
                        <w:tabs>
                          <w:tab w:val="left" w:pos="839"/>
                          <w:tab w:val="left" w:pos="840"/>
                        </w:tabs>
                        <w:ind w:right="160" w:hanging="359"/>
                        <w:rPr>
                          <w:rFonts w:ascii="Arial" w:hAnsi="Arial" w:cs="Arial"/>
                        </w:rPr>
                      </w:pPr>
                      <w:r>
                        <w:rPr>
                          <w:rFonts w:ascii="Arial" w:eastAsia="Arial" w:hAnsi="Arial" w:cs="Arial"/>
                          <w:lang w:bidi="fr-CA"/>
                        </w:rPr>
                        <w:t>Participation active à des initiatives mondiales liées aux chaînes d’approvisionnement en minéraux et en métaux.</w:t>
                      </w:r>
                    </w:p>
                    <w:p w14:paraId="2A77BC3A" w14:textId="04209C7D" w:rsidR="004A5CA8" w:rsidRPr="00B26B2A" w:rsidRDefault="004A5CA8" w:rsidP="00A75A3B">
                      <w:pPr>
                        <w:tabs>
                          <w:tab w:val="left" w:pos="839"/>
                          <w:tab w:val="left" w:pos="840"/>
                        </w:tabs>
                        <w:ind w:right="160"/>
                        <w:jc w:val="both"/>
                        <w:rPr>
                          <w:rFonts w:ascii="Arial" w:hAnsi="Arial" w:cs="Arial"/>
                          <w:sz w:val="12"/>
                          <w:szCs w:val="12"/>
                        </w:rPr>
                      </w:pPr>
                    </w:p>
                    <w:p w14:paraId="72202AEB" w14:textId="5D0D6FE2" w:rsidR="004A5CA8" w:rsidRDefault="004A5CA8" w:rsidP="00A75A3B">
                      <w:pPr>
                        <w:tabs>
                          <w:tab w:val="left" w:pos="839"/>
                          <w:tab w:val="left" w:pos="840"/>
                        </w:tabs>
                        <w:ind w:right="160"/>
                        <w:jc w:val="both"/>
                        <w:rPr>
                          <w:rFonts w:ascii="Arial" w:hAnsi="Arial" w:cs="Arial"/>
                        </w:rPr>
                      </w:pPr>
                      <w:r>
                        <w:rPr>
                          <w:rFonts w:ascii="Arial" w:eastAsia="Arial" w:hAnsi="Arial" w:cs="Arial"/>
                          <w:lang w:bidi="fr-CA"/>
                        </w:rPr>
                        <w:t>Autres qualités souhaitées :</w:t>
                      </w:r>
                    </w:p>
                    <w:p w14:paraId="32A40FAD" w14:textId="25BA3D1A" w:rsidR="004A5CA8" w:rsidRPr="00FB2F8F" w:rsidRDefault="00832ED7" w:rsidP="00A75A3B">
                      <w:pPr>
                        <w:pStyle w:val="ListParagraph"/>
                        <w:numPr>
                          <w:ilvl w:val="0"/>
                          <w:numId w:val="2"/>
                        </w:numPr>
                        <w:tabs>
                          <w:tab w:val="left" w:pos="872"/>
                          <w:tab w:val="left" w:pos="873"/>
                        </w:tabs>
                        <w:spacing w:line="280" w:lineRule="exact"/>
                        <w:ind w:left="872" w:hanging="392"/>
                        <w:rPr>
                          <w:rFonts w:ascii="Arial" w:hAnsi="Arial" w:cs="Arial"/>
                        </w:rPr>
                      </w:pPr>
                      <w:r>
                        <w:rPr>
                          <w:rFonts w:ascii="Arial" w:eastAsia="Arial" w:hAnsi="Arial" w:cs="Arial"/>
                          <w:lang w:bidi="fr-CA"/>
                        </w:rPr>
                        <w:t>Volonté manifeste de s’engager de façon ouverte et constructive.</w:t>
                      </w:r>
                    </w:p>
                    <w:p w14:paraId="69E7DE2A" w14:textId="722CEF9F" w:rsidR="004A5CA8" w:rsidRPr="003064E0" w:rsidRDefault="00832ED7" w:rsidP="003064E0">
                      <w:pPr>
                        <w:pStyle w:val="ListParagraph"/>
                        <w:numPr>
                          <w:ilvl w:val="0"/>
                          <w:numId w:val="2"/>
                        </w:numPr>
                        <w:tabs>
                          <w:tab w:val="left" w:pos="872"/>
                          <w:tab w:val="left" w:pos="873"/>
                        </w:tabs>
                        <w:spacing w:before="1"/>
                        <w:ind w:left="872" w:hanging="392"/>
                        <w:rPr>
                          <w:rFonts w:ascii="Arial" w:hAnsi="Arial" w:cs="Arial"/>
                        </w:rPr>
                      </w:pPr>
                      <w:r>
                        <w:rPr>
                          <w:rFonts w:ascii="Arial" w:eastAsia="Arial" w:hAnsi="Arial" w:cs="Arial"/>
                          <w:lang w:bidi="fr-CA"/>
                        </w:rPr>
                        <w:t xml:space="preserve">Capacité à consacrer du temps et des efforts au travail du </w:t>
                      </w:r>
                      <w:r w:rsidR="00582CD2">
                        <w:rPr>
                          <w:rFonts w:ascii="Arial" w:eastAsia="Arial" w:hAnsi="Arial" w:cs="Arial"/>
                          <w:spacing w:val="-15"/>
                          <w:lang w:bidi="fr-CA"/>
                        </w:rPr>
                        <w:t>GCI</w:t>
                      </w:r>
                      <w:r>
                        <w:rPr>
                          <w:rFonts w:ascii="Arial" w:eastAsia="Arial" w:hAnsi="Arial" w:cs="Arial"/>
                          <w:lang w:bidi="fr-CA"/>
                        </w:rPr>
                        <w:t>.</w:t>
                      </w:r>
                    </w:p>
                  </w:txbxContent>
                </v:textbox>
                <w10:anchorlock/>
              </v:shape>
            </w:pict>
          </mc:Fallback>
        </mc:AlternateContent>
      </w:r>
    </w:p>
    <w:p w14:paraId="22BC7907" w14:textId="77777777" w:rsidR="0026480C" w:rsidRPr="00FB2F8F" w:rsidRDefault="0026480C" w:rsidP="00A75A3B">
      <w:pPr>
        <w:pStyle w:val="BodyText"/>
        <w:spacing w:before="9"/>
        <w:jc w:val="both"/>
        <w:rPr>
          <w:rFonts w:ascii="Arial" w:hAnsi="Arial" w:cs="Arial"/>
        </w:rPr>
      </w:pPr>
    </w:p>
    <w:p w14:paraId="22BC7911" w14:textId="542B6399" w:rsidR="0026480C" w:rsidRPr="005F6780" w:rsidRDefault="001E319E" w:rsidP="005F6780">
      <w:pPr>
        <w:pStyle w:val="BodyText"/>
        <w:ind w:left="120"/>
        <w:jc w:val="both"/>
        <w:rPr>
          <w:rFonts w:ascii="Arial" w:hAnsi="Arial" w:cs="Arial"/>
        </w:rPr>
      </w:pPr>
      <w:r>
        <w:rPr>
          <w:rFonts w:ascii="Arial" w:eastAsia="Arial" w:hAnsi="Arial" w:cs="Arial"/>
          <w:lang w:bidi="fr-CA"/>
        </w:rPr>
        <w:t xml:space="preserve">Le GCI s’attend à ce que ses membres mettent à profit leur expertise et leurs connaissances, ainsi que le point de vue des communautés d’intérêts concernées. Les membres doivent inspirer le respect et faire preuve de crédibilité au sein de leurs communautés d’intérêts respectives pour siéger au sein du GCI et pour discuter des enjeux pertinents pour le GCI avec leurs communautés d’intérêts. Les membres participent à titre individuel et ne représentent aucune organisation à laquelle ils peuvent être affiliés. Les facteurs de diversité, notamment le sexe, la race, la géographie, l’âge et la langue, sont également pris en compte dans le processus de sélection. </w:t>
      </w:r>
    </w:p>
    <w:p w14:paraId="22BC7912" w14:textId="77777777" w:rsidR="0026480C" w:rsidRPr="005F6780" w:rsidRDefault="0026480C" w:rsidP="005F6780">
      <w:pPr>
        <w:pStyle w:val="BodyText"/>
        <w:jc w:val="both"/>
        <w:rPr>
          <w:rFonts w:ascii="Arial" w:hAnsi="Arial" w:cs="Arial"/>
        </w:rPr>
      </w:pPr>
    </w:p>
    <w:p w14:paraId="22BC7913" w14:textId="16997AE2" w:rsidR="0026480C" w:rsidRPr="005F6780" w:rsidRDefault="00B77922" w:rsidP="005F6780">
      <w:pPr>
        <w:pStyle w:val="Heading1"/>
        <w:jc w:val="both"/>
        <w:rPr>
          <w:rFonts w:ascii="Arial" w:hAnsi="Arial" w:cs="Arial"/>
          <w:u w:val="single"/>
        </w:rPr>
      </w:pPr>
      <w:r w:rsidRPr="005F6780">
        <w:rPr>
          <w:rFonts w:ascii="Arial" w:eastAsia="Arial" w:hAnsi="Arial" w:cs="Arial"/>
          <w:u w:val="single"/>
          <w:lang w:bidi="fr-CA"/>
        </w:rPr>
        <w:t>Processus de dépôt de candidature</w:t>
      </w:r>
    </w:p>
    <w:p w14:paraId="22BC7914" w14:textId="77777777" w:rsidR="0026480C" w:rsidRPr="005F6780" w:rsidRDefault="0026480C" w:rsidP="005F6780">
      <w:pPr>
        <w:pStyle w:val="BodyText"/>
        <w:jc w:val="both"/>
        <w:rPr>
          <w:rFonts w:ascii="Arial" w:hAnsi="Arial" w:cs="Arial"/>
          <w:b/>
        </w:rPr>
      </w:pPr>
    </w:p>
    <w:p w14:paraId="374FD46C" w14:textId="52A1E498" w:rsidR="0094556F" w:rsidRPr="005F6780" w:rsidRDefault="00E54F39" w:rsidP="005F6780">
      <w:pPr>
        <w:pStyle w:val="BodyText"/>
        <w:ind w:left="120" w:right="184"/>
        <w:jc w:val="both"/>
        <w:rPr>
          <w:rFonts w:ascii="Arial" w:hAnsi="Arial" w:cs="Arial"/>
        </w:rPr>
      </w:pPr>
      <w:r w:rsidRPr="005F6780">
        <w:rPr>
          <w:rFonts w:ascii="Arial" w:eastAsia="Arial" w:hAnsi="Arial" w:cs="Arial"/>
          <w:lang w:bidi="fr-CA"/>
        </w:rPr>
        <w:t xml:space="preserve">Les personnes peuvent soumettre leur propre candidature ou être mises en candidature par une tierce personne. Si vous ou quelqu’un que vous connaissez démontrez de l’intérêt pour ce poste, veuillez soumettre le formulaire de candidature ci-joint ainsi qu’un CV à jour à : </w:t>
      </w:r>
      <w:hyperlink r:id="rId12" w:history="1">
        <w:r w:rsidR="000B7428" w:rsidRPr="005F6780">
          <w:rPr>
            <w:rStyle w:val="Hyperlink"/>
            <w:rFonts w:ascii="Arial" w:eastAsia="Arial" w:hAnsi="Arial" w:cs="Arial"/>
            <w:b/>
            <w:lang w:bidi="fr-CA"/>
          </w:rPr>
          <w:t>tsm@mining.ca</w:t>
        </w:r>
      </w:hyperlink>
      <w:r w:rsidRPr="005F6780">
        <w:rPr>
          <w:rFonts w:ascii="Arial" w:eastAsia="Arial" w:hAnsi="Arial" w:cs="Arial"/>
          <w:b/>
          <w:lang w:bidi="fr-CA"/>
        </w:rPr>
        <w:t xml:space="preserve">. </w:t>
      </w:r>
    </w:p>
    <w:p w14:paraId="70407C3D" w14:textId="77777777" w:rsidR="0094556F" w:rsidRPr="005F6780" w:rsidRDefault="0094556F" w:rsidP="005F6780">
      <w:pPr>
        <w:pStyle w:val="BodyText"/>
        <w:ind w:left="120" w:right="184"/>
        <w:jc w:val="both"/>
        <w:rPr>
          <w:rFonts w:ascii="Arial" w:hAnsi="Arial" w:cs="Arial"/>
        </w:rPr>
      </w:pPr>
    </w:p>
    <w:p w14:paraId="22BC7917" w14:textId="54C59C68" w:rsidR="0026480C" w:rsidRPr="00CE5DEF" w:rsidRDefault="00A75A3B" w:rsidP="005F6780">
      <w:pPr>
        <w:pStyle w:val="Heading1"/>
        <w:jc w:val="both"/>
        <w:rPr>
          <w:rFonts w:ascii="Arial" w:hAnsi="Arial" w:cs="Arial"/>
        </w:rPr>
      </w:pPr>
      <w:r w:rsidRPr="00CE5DEF">
        <w:rPr>
          <w:rFonts w:ascii="Arial" w:eastAsia="Arial" w:hAnsi="Arial" w:cs="Arial"/>
          <w:lang w:bidi="fr-CA"/>
        </w:rPr>
        <w:t xml:space="preserve">La date limite de dépôt des candidatures est le </w:t>
      </w:r>
      <w:r w:rsidR="005E407E" w:rsidRPr="00CE5DEF">
        <w:rPr>
          <w:rFonts w:ascii="Arial" w:eastAsia="Arial" w:hAnsi="Arial" w:cs="Arial"/>
          <w:lang w:bidi="fr-CA"/>
        </w:rPr>
        <w:t>18 août 2024.</w:t>
      </w:r>
    </w:p>
    <w:p w14:paraId="22BC7918" w14:textId="77777777" w:rsidR="0026480C" w:rsidRPr="00CE5DEF" w:rsidRDefault="0026480C" w:rsidP="005F6780">
      <w:pPr>
        <w:pStyle w:val="BodyText"/>
        <w:jc w:val="both"/>
        <w:rPr>
          <w:rFonts w:ascii="Arial" w:hAnsi="Arial" w:cs="Arial"/>
          <w:b/>
        </w:rPr>
      </w:pPr>
    </w:p>
    <w:p w14:paraId="22BC791B" w14:textId="702E62E5" w:rsidR="00DA30F6" w:rsidRPr="005F6780" w:rsidRDefault="00A75A3B" w:rsidP="005F6780">
      <w:pPr>
        <w:pStyle w:val="BodyText"/>
        <w:ind w:left="119" w:right="157"/>
        <w:jc w:val="both"/>
        <w:rPr>
          <w:rFonts w:ascii="Arial" w:hAnsi="Arial" w:cs="Arial"/>
        </w:rPr>
      </w:pPr>
      <w:r w:rsidRPr="00CE5DEF">
        <w:rPr>
          <w:rFonts w:ascii="Arial" w:eastAsia="Arial" w:hAnsi="Arial" w:cs="Arial"/>
          <w:lang w:bidi="fr-CA"/>
        </w:rPr>
        <w:t>Le comité de renouvellement du GCI, composé de membres issus de l’industrie et</w:t>
      </w:r>
      <w:r w:rsidRPr="00CE5DEF">
        <w:rPr>
          <w:rFonts w:ascii="Cambria Math" w:eastAsia="Cambria Math" w:hAnsi="Cambria Math" w:cs="Cambria Math"/>
          <w:lang w:bidi="fr-CA"/>
        </w:rPr>
        <w:t xml:space="preserve"> </w:t>
      </w:r>
      <w:r w:rsidRPr="00CE5DEF">
        <w:rPr>
          <w:rFonts w:ascii="Arial" w:eastAsia="Arial" w:hAnsi="Arial" w:cs="Arial"/>
          <w:lang w:bidi="fr-CA"/>
        </w:rPr>
        <w:t xml:space="preserve">d’autres secteurs, est chargé de recommander de nouveaux membres du GCI au conseil d’administration de l’AMC. Un représentant du comité pourrait communiquer avec les candidats retenus pour discuter en détail de leur candidature. Les candidats retenus seront informés de leur sélection au </w:t>
      </w:r>
      <w:r w:rsidR="005925A3" w:rsidRPr="00CE5DEF">
        <w:rPr>
          <w:rFonts w:ascii="Arial" w:eastAsia="Arial" w:hAnsi="Arial" w:cs="Arial"/>
          <w:lang w:bidi="fr-CA"/>
        </w:rPr>
        <w:t>début de septembre 2024</w:t>
      </w:r>
      <w:r w:rsidRPr="00CE5DEF">
        <w:rPr>
          <w:rFonts w:ascii="Arial" w:eastAsia="Arial" w:hAnsi="Arial" w:cs="Arial"/>
          <w:lang w:bidi="fr-CA"/>
        </w:rPr>
        <w:t xml:space="preserve"> et auront l’occasion de participer à une réunion du GCI à la </w:t>
      </w:r>
      <w:r w:rsidR="005925A3" w:rsidRPr="00CE5DEF">
        <w:rPr>
          <w:rFonts w:ascii="Arial" w:eastAsia="Arial" w:hAnsi="Arial" w:cs="Arial"/>
          <w:lang w:bidi="fr-CA"/>
        </w:rPr>
        <w:t>fin de septembre 2024</w:t>
      </w:r>
      <w:r w:rsidRPr="00CE5DEF">
        <w:rPr>
          <w:rFonts w:ascii="Arial" w:eastAsia="Arial" w:hAnsi="Arial" w:cs="Arial"/>
          <w:lang w:bidi="fr-CA"/>
        </w:rPr>
        <w:t>.</w:t>
      </w:r>
    </w:p>
    <w:p w14:paraId="77FFDA9B" w14:textId="77777777" w:rsidR="00DA30F6" w:rsidRPr="005F6780" w:rsidRDefault="00DA30F6" w:rsidP="005F6780">
      <w:pPr>
        <w:rPr>
          <w:rFonts w:ascii="Arial" w:hAnsi="Arial" w:cs="Arial"/>
        </w:rPr>
      </w:pPr>
      <w:r w:rsidRPr="005F6780">
        <w:rPr>
          <w:rFonts w:ascii="Arial" w:eastAsia="Arial" w:hAnsi="Arial" w:cs="Arial"/>
          <w:lang w:bidi="fr-CA"/>
        </w:rPr>
        <w:br w:type="page"/>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5"/>
        <w:gridCol w:w="4770"/>
      </w:tblGrid>
      <w:tr w:rsidR="007F3F9F" w:rsidRPr="002F229D" w14:paraId="1BB4E1A1" w14:textId="77777777" w:rsidTr="00FC590C">
        <w:trPr>
          <w:trHeight w:val="472"/>
        </w:trPr>
        <w:tc>
          <w:tcPr>
            <w:tcW w:w="9335" w:type="dxa"/>
            <w:gridSpan w:val="2"/>
            <w:shd w:val="clear" w:color="auto" w:fill="365F91"/>
          </w:tcPr>
          <w:p w14:paraId="552C3332" w14:textId="3E94DA3C" w:rsidR="007F3F9F" w:rsidRPr="00B26B2A" w:rsidRDefault="007F3F9F" w:rsidP="0044795E">
            <w:pPr>
              <w:pStyle w:val="TableParagraph"/>
              <w:spacing w:before="60"/>
              <w:ind w:left="150"/>
              <w:rPr>
                <w:rFonts w:ascii="Arial" w:hAnsi="Arial" w:cs="Arial"/>
                <w:b/>
              </w:rPr>
            </w:pPr>
            <w:r w:rsidRPr="002F229D">
              <w:rPr>
                <w:rFonts w:ascii="Arial" w:eastAsia="Arial" w:hAnsi="Arial" w:cs="Arial"/>
                <w:b/>
                <w:color w:val="FFFFFF"/>
                <w:lang w:bidi="fr-CA"/>
              </w:rPr>
              <w:lastRenderedPageBreak/>
              <w:t>FORMULAIRE DE CANDIDATURE – GROUPE DES COMMUNAUTÉS D’INTÉRÊTS DE L’AMC</w:t>
            </w:r>
          </w:p>
        </w:tc>
      </w:tr>
      <w:tr w:rsidR="007F3F9F" w:rsidRPr="002F229D" w14:paraId="041E90F1" w14:textId="77777777" w:rsidTr="009409B4">
        <w:trPr>
          <w:trHeight w:val="1000"/>
        </w:trPr>
        <w:tc>
          <w:tcPr>
            <w:tcW w:w="4565" w:type="dxa"/>
          </w:tcPr>
          <w:p w14:paraId="0540AD84" w14:textId="40B636D1" w:rsidR="007F3F9F" w:rsidRPr="002F229D" w:rsidRDefault="007F3F9F" w:rsidP="00905B49">
            <w:pPr>
              <w:pStyle w:val="TableParagraph"/>
              <w:spacing w:before="60"/>
              <w:ind w:left="150"/>
              <w:rPr>
                <w:rFonts w:ascii="Arial" w:hAnsi="Arial" w:cs="Arial"/>
                <w:sz w:val="18"/>
                <w:lang w:val="en-CA"/>
              </w:rPr>
            </w:pPr>
            <w:r w:rsidRPr="002F229D">
              <w:rPr>
                <w:rFonts w:ascii="Arial" w:eastAsia="Arial" w:hAnsi="Arial" w:cs="Arial"/>
                <w:b/>
                <w:lang w:bidi="fr-CA"/>
              </w:rPr>
              <w:t>Candidat :</w:t>
            </w:r>
            <w:r w:rsidRPr="002F229D">
              <w:rPr>
                <w:rFonts w:ascii="Arial" w:eastAsia="Arial" w:hAnsi="Arial" w:cs="Arial"/>
                <w:sz w:val="18"/>
                <w:lang w:bidi="fr-CA"/>
              </w:rPr>
              <w:t xml:space="preserve"> [Nom complet]</w:t>
            </w:r>
          </w:p>
          <w:p w14:paraId="1D4D5422" w14:textId="77777777" w:rsidR="007F3F9F" w:rsidRPr="002F229D" w:rsidRDefault="007F3F9F" w:rsidP="00905B49">
            <w:pPr>
              <w:pStyle w:val="TableParagraph"/>
              <w:spacing w:before="60"/>
              <w:ind w:left="150"/>
              <w:rPr>
                <w:rFonts w:ascii="Arial" w:hAnsi="Arial" w:cs="Arial"/>
                <w:sz w:val="24"/>
                <w:lang w:val="en-CA"/>
              </w:rPr>
            </w:pPr>
          </w:p>
        </w:tc>
        <w:tc>
          <w:tcPr>
            <w:tcW w:w="4770" w:type="dxa"/>
          </w:tcPr>
          <w:p w14:paraId="3AA15227" w14:textId="2961B3BD" w:rsidR="007F3F9F" w:rsidRPr="00B26B2A" w:rsidRDefault="007F3F9F" w:rsidP="00905B49">
            <w:pPr>
              <w:pStyle w:val="TableParagraph"/>
              <w:spacing w:before="60"/>
              <w:ind w:left="105"/>
              <w:rPr>
                <w:rFonts w:ascii="Arial" w:hAnsi="Arial" w:cs="Arial"/>
                <w:b/>
              </w:rPr>
            </w:pPr>
            <w:r w:rsidRPr="002F229D">
              <w:rPr>
                <w:rFonts w:ascii="Arial" w:eastAsia="Arial" w:hAnsi="Arial" w:cs="Arial"/>
                <w:b/>
                <w:lang w:bidi="fr-CA"/>
              </w:rPr>
              <w:t>Catégorie de candidature :</w:t>
            </w:r>
          </w:p>
          <w:p w14:paraId="59D965AD" w14:textId="16255225" w:rsidR="007F3F9F" w:rsidRPr="00B26B2A" w:rsidRDefault="00804C06" w:rsidP="00905B49">
            <w:pPr>
              <w:pStyle w:val="TableParagraph"/>
              <w:spacing w:before="60"/>
              <w:ind w:left="105"/>
              <w:rPr>
                <w:rFonts w:ascii="Arial" w:hAnsi="Arial" w:cs="Arial"/>
                <w:sz w:val="24"/>
              </w:rPr>
            </w:pPr>
            <w:r>
              <w:rPr>
                <w:rFonts w:ascii="Arial" w:eastAsia="Arial" w:hAnsi="Arial" w:cs="Arial"/>
                <w:sz w:val="24"/>
                <w:lang w:bidi="fr-CA"/>
              </w:rPr>
              <w:t>Client de substances extraites des mines</w:t>
            </w:r>
          </w:p>
        </w:tc>
      </w:tr>
      <w:tr w:rsidR="007F3F9F" w:rsidRPr="002F229D" w14:paraId="6094AC05" w14:textId="77777777" w:rsidTr="009409B4">
        <w:trPr>
          <w:trHeight w:val="1415"/>
        </w:trPr>
        <w:tc>
          <w:tcPr>
            <w:tcW w:w="4565" w:type="dxa"/>
          </w:tcPr>
          <w:p w14:paraId="23AB2107" w14:textId="77777777" w:rsidR="007F3F9F" w:rsidRPr="00B26B2A" w:rsidRDefault="007F3F9F" w:rsidP="00905B49">
            <w:pPr>
              <w:pStyle w:val="TableParagraph"/>
              <w:spacing w:before="60"/>
              <w:ind w:left="150"/>
              <w:rPr>
                <w:rFonts w:ascii="Arial" w:hAnsi="Arial" w:cs="Arial"/>
                <w:sz w:val="18"/>
              </w:rPr>
            </w:pPr>
            <w:r w:rsidRPr="002F229D">
              <w:rPr>
                <w:rFonts w:ascii="Arial" w:eastAsia="Arial" w:hAnsi="Arial" w:cs="Arial"/>
                <w:b/>
                <w:lang w:bidi="fr-CA"/>
              </w:rPr>
              <w:t>Organisation affiliée :</w:t>
            </w:r>
            <w:r w:rsidRPr="002F229D">
              <w:rPr>
                <w:rFonts w:ascii="Arial" w:eastAsia="Arial" w:hAnsi="Arial" w:cs="Arial"/>
                <w:sz w:val="18"/>
                <w:lang w:bidi="fr-CA"/>
              </w:rPr>
              <w:t xml:space="preserve"> [Affiliation du candidat]</w:t>
            </w:r>
          </w:p>
          <w:p w14:paraId="771EDB36" w14:textId="77777777" w:rsidR="007F3F9F" w:rsidRPr="00B26B2A" w:rsidRDefault="007F3F9F" w:rsidP="00905B49">
            <w:pPr>
              <w:pStyle w:val="TableParagraph"/>
              <w:spacing w:before="60"/>
              <w:ind w:left="150"/>
              <w:rPr>
                <w:rFonts w:ascii="Arial" w:hAnsi="Arial" w:cs="Arial"/>
                <w:i/>
                <w:sz w:val="16"/>
              </w:rPr>
            </w:pPr>
            <w:r w:rsidRPr="002F229D">
              <w:rPr>
                <w:rFonts w:ascii="Arial" w:eastAsia="Arial" w:hAnsi="Arial" w:cs="Arial"/>
                <w:i/>
                <w:sz w:val="16"/>
                <w:lang w:bidi="fr-CA"/>
              </w:rPr>
              <w:t>Veuillez noter que cette information n’est recueillie que pour remplir le profil du candidat. Les membres du Groupe y participent à titre individuel et ne représentent aucune organisation.</w:t>
            </w:r>
          </w:p>
          <w:p w14:paraId="75CCA65E" w14:textId="77777777" w:rsidR="007F3F9F" w:rsidRPr="00B26B2A" w:rsidRDefault="007F3F9F" w:rsidP="00905B49">
            <w:pPr>
              <w:pStyle w:val="TableParagraph"/>
              <w:spacing w:before="60"/>
              <w:ind w:left="150"/>
              <w:rPr>
                <w:rFonts w:ascii="Arial" w:hAnsi="Arial" w:cs="Arial"/>
                <w:sz w:val="18"/>
              </w:rPr>
            </w:pPr>
          </w:p>
          <w:p w14:paraId="471758D0" w14:textId="77777777" w:rsidR="007F3F9F" w:rsidRPr="00B26B2A" w:rsidRDefault="007F3F9F" w:rsidP="00905B49">
            <w:pPr>
              <w:pStyle w:val="TableParagraph"/>
              <w:spacing w:before="60"/>
              <w:ind w:left="150"/>
              <w:rPr>
                <w:rFonts w:ascii="Arial" w:hAnsi="Arial" w:cs="Arial"/>
                <w:sz w:val="24"/>
              </w:rPr>
            </w:pPr>
          </w:p>
        </w:tc>
        <w:tc>
          <w:tcPr>
            <w:tcW w:w="4770" w:type="dxa"/>
          </w:tcPr>
          <w:p w14:paraId="65B6F65B" w14:textId="6FC077B1" w:rsidR="007F3F9F" w:rsidRPr="00B26B2A" w:rsidRDefault="007F3F9F" w:rsidP="00905B49">
            <w:pPr>
              <w:pStyle w:val="TableParagraph"/>
              <w:spacing w:before="60"/>
              <w:ind w:left="105"/>
              <w:rPr>
                <w:rFonts w:ascii="Arial" w:hAnsi="Arial" w:cs="Arial"/>
                <w:sz w:val="18"/>
              </w:rPr>
            </w:pPr>
            <w:r w:rsidRPr="002F229D">
              <w:rPr>
                <w:rFonts w:ascii="Arial" w:eastAsia="Arial" w:hAnsi="Arial" w:cs="Arial"/>
                <w:b/>
                <w:lang w:bidi="fr-CA"/>
              </w:rPr>
              <w:t>Rôle/titre :</w:t>
            </w:r>
            <w:r w:rsidRPr="002F229D">
              <w:rPr>
                <w:rFonts w:ascii="Arial" w:eastAsia="Arial" w:hAnsi="Arial" w:cs="Arial"/>
                <w:sz w:val="18"/>
                <w:lang w:bidi="fr-CA"/>
              </w:rPr>
              <w:t xml:space="preserve"> [Rôle/titre du candidat au sein de l’organisation affiliée]</w:t>
            </w:r>
          </w:p>
          <w:p w14:paraId="3715F63F" w14:textId="01236190" w:rsidR="007F3F9F" w:rsidRPr="00B26B2A" w:rsidRDefault="007F3F9F" w:rsidP="00905B49">
            <w:pPr>
              <w:pStyle w:val="TableParagraph"/>
              <w:spacing w:before="60"/>
              <w:ind w:left="105"/>
              <w:rPr>
                <w:rFonts w:ascii="Arial" w:hAnsi="Arial" w:cs="Arial"/>
                <w:sz w:val="24"/>
              </w:rPr>
            </w:pPr>
            <w:r w:rsidRPr="002F229D">
              <w:rPr>
                <w:sz w:val="24"/>
                <w:lang w:bidi="fr-CA"/>
              </w:rPr>
              <w:t xml:space="preserve"> </w:t>
            </w:r>
          </w:p>
        </w:tc>
      </w:tr>
      <w:tr w:rsidR="007F3F9F" w:rsidRPr="002F229D" w14:paraId="33E52348" w14:textId="77777777" w:rsidTr="009409B4">
        <w:trPr>
          <w:trHeight w:val="1115"/>
        </w:trPr>
        <w:tc>
          <w:tcPr>
            <w:tcW w:w="4565" w:type="dxa"/>
          </w:tcPr>
          <w:p w14:paraId="4298338D" w14:textId="77777777" w:rsidR="007F3F9F" w:rsidRPr="00B26B2A" w:rsidRDefault="007F3F9F" w:rsidP="00905B49">
            <w:pPr>
              <w:pStyle w:val="TableParagraph"/>
              <w:spacing w:before="60"/>
              <w:ind w:left="150"/>
              <w:rPr>
                <w:b/>
              </w:rPr>
            </w:pPr>
            <w:r w:rsidRPr="002F229D">
              <w:rPr>
                <w:rFonts w:ascii="Arial" w:eastAsia="Arial" w:hAnsi="Arial" w:cs="Arial"/>
                <w:b/>
                <w:lang w:bidi="fr-CA"/>
              </w:rPr>
              <w:t>Coordonnées du candidat :</w:t>
            </w:r>
          </w:p>
          <w:p w14:paraId="63FE8C1A" w14:textId="45BCAB19" w:rsidR="007F3F9F" w:rsidRPr="00B26B2A" w:rsidRDefault="007F3F9F" w:rsidP="00905B49">
            <w:pPr>
              <w:pStyle w:val="TableParagraph"/>
              <w:tabs>
                <w:tab w:val="left" w:pos="3023"/>
              </w:tabs>
              <w:spacing w:before="60"/>
              <w:ind w:left="150"/>
              <w:rPr>
                <w:rFonts w:ascii="Arial" w:hAnsi="Arial" w:cs="Arial"/>
                <w:sz w:val="24"/>
              </w:rPr>
            </w:pPr>
            <w:r w:rsidRPr="002F229D">
              <w:rPr>
                <w:rFonts w:ascii="Arial" w:eastAsia="Arial" w:hAnsi="Arial" w:cs="Arial"/>
                <w:lang w:bidi="fr-CA"/>
              </w:rPr>
              <w:t>Courriel :</w:t>
            </w:r>
          </w:p>
          <w:p w14:paraId="3751A028" w14:textId="77777777" w:rsidR="007F3F9F" w:rsidRPr="00B26B2A" w:rsidRDefault="007F3F9F" w:rsidP="00905B49">
            <w:pPr>
              <w:pStyle w:val="TableParagraph"/>
              <w:spacing w:before="60"/>
              <w:ind w:left="150"/>
              <w:rPr>
                <w:rFonts w:ascii="Arial" w:hAnsi="Arial" w:cs="Arial"/>
              </w:rPr>
            </w:pPr>
            <w:r w:rsidRPr="002F229D">
              <w:rPr>
                <w:rFonts w:ascii="Arial" w:eastAsia="Arial" w:hAnsi="Arial" w:cs="Arial"/>
                <w:lang w:bidi="fr-CA"/>
              </w:rPr>
              <w:t>Téléphone :</w:t>
            </w:r>
          </w:p>
        </w:tc>
        <w:tc>
          <w:tcPr>
            <w:tcW w:w="4770" w:type="dxa"/>
          </w:tcPr>
          <w:p w14:paraId="5179E8C9" w14:textId="77777777" w:rsidR="007F3F9F" w:rsidRPr="00B26B2A" w:rsidRDefault="007F3F9F" w:rsidP="00905B49">
            <w:pPr>
              <w:pStyle w:val="TableParagraph"/>
              <w:spacing w:before="60"/>
              <w:ind w:left="105"/>
              <w:rPr>
                <w:rFonts w:ascii="Arial" w:hAnsi="Arial" w:cs="Arial"/>
                <w:sz w:val="24"/>
              </w:rPr>
            </w:pPr>
            <w:r w:rsidRPr="002F229D">
              <w:rPr>
                <w:rFonts w:ascii="Arial" w:eastAsia="Arial" w:hAnsi="Arial" w:cs="Arial"/>
                <w:b/>
                <w:lang w:bidi="fr-CA"/>
              </w:rPr>
              <w:t>Adresse de résidence du candidat :</w:t>
            </w:r>
          </w:p>
          <w:p w14:paraId="4CE44115" w14:textId="77777777" w:rsidR="007F3F9F" w:rsidRPr="002F229D" w:rsidRDefault="007F3F9F" w:rsidP="00905B49">
            <w:pPr>
              <w:pStyle w:val="TableParagraph"/>
              <w:spacing w:before="60"/>
              <w:ind w:left="105"/>
              <w:rPr>
                <w:rFonts w:ascii="Arial" w:hAnsi="Arial" w:cs="Arial"/>
                <w:lang w:val="en-CA"/>
              </w:rPr>
            </w:pPr>
            <w:r w:rsidRPr="002F229D">
              <w:rPr>
                <w:rFonts w:ascii="Arial" w:eastAsia="Arial" w:hAnsi="Arial" w:cs="Arial"/>
                <w:lang w:bidi="fr-CA"/>
              </w:rPr>
              <w:t>Ville :</w:t>
            </w:r>
          </w:p>
          <w:p w14:paraId="6BA1A934" w14:textId="77777777" w:rsidR="007F3F9F" w:rsidRPr="002F229D" w:rsidRDefault="007F3F9F" w:rsidP="00905B49">
            <w:pPr>
              <w:pStyle w:val="TableParagraph"/>
              <w:spacing w:before="60"/>
              <w:ind w:left="105"/>
              <w:rPr>
                <w:rFonts w:ascii="Arial" w:hAnsi="Arial" w:cs="Arial"/>
                <w:lang w:val="en-CA"/>
              </w:rPr>
            </w:pPr>
            <w:r w:rsidRPr="002F229D">
              <w:rPr>
                <w:rFonts w:ascii="Arial" w:eastAsia="Arial" w:hAnsi="Arial" w:cs="Arial"/>
                <w:lang w:bidi="fr-CA"/>
              </w:rPr>
              <w:t>Province ou territoire :</w:t>
            </w:r>
          </w:p>
        </w:tc>
      </w:tr>
      <w:tr w:rsidR="007F3F9F" w:rsidRPr="002F229D" w14:paraId="16601E03" w14:textId="77777777" w:rsidTr="00FC590C">
        <w:trPr>
          <w:trHeight w:val="2863"/>
        </w:trPr>
        <w:tc>
          <w:tcPr>
            <w:tcW w:w="9335" w:type="dxa"/>
            <w:gridSpan w:val="2"/>
          </w:tcPr>
          <w:p w14:paraId="78875081" w14:textId="71FCCA33" w:rsidR="007F3F9F" w:rsidRPr="00B26B2A" w:rsidRDefault="007F3F9F" w:rsidP="0044795E">
            <w:pPr>
              <w:pStyle w:val="TableParagraph"/>
              <w:spacing w:before="60"/>
              <w:ind w:left="60"/>
              <w:rPr>
                <w:rFonts w:ascii="Arial" w:hAnsi="Arial" w:cs="Arial"/>
                <w:b/>
              </w:rPr>
            </w:pPr>
            <w:r w:rsidRPr="002F229D">
              <w:rPr>
                <w:rFonts w:ascii="Arial" w:eastAsia="Arial" w:hAnsi="Arial" w:cs="Arial"/>
                <w:b/>
                <w:lang w:bidi="fr-CA"/>
              </w:rPr>
              <w:t>Veuillez expliquer brièvement pourquoi il s’agit d’un bon candidat :</w:t>
            </w:r>
          </w:p>
          <w:p w14:paraId="7A284C69" w14:textId="77777777" w:rsidR="007F3F9F" w:rsidRPr="00B26B2A" w:rsidRDefault="007F3F9F" w:rsidP="00905B49">
            <w:pPr>
              <w:pStyle w:val="TableParagraph"/>
              <w:spacing w:before="60"/>
              <w:rPr>
                <w:rFonts w:ascii="Arial" w:hAnsi="Arial" w:cs="Arial"/>
                <w:b/>
              </w:rPr>
            </w:pPr>
          </w:p>
          <w:p w14:paraId="7708598B" w14:textId="77777777" w:rsidR="007F3F9F" w:rsidRPr="00B26B2A" w:rsidRDefault="007F3F9F" w:rsidP="00905B49">
            <w:pPr>
              <w:pStyle w:val="TableParagraph"/>
              <w:spacing w:before="60"/>
              <w:ind w:left="28" w:right="16"/>
              <w:rPr>
                <w:rFonts w:ascii="Arial" w:hAnsi="Arial" w:cs="Arial"/>
                <w:b/>
              </w:rPr>
            </w:pPr>
          </w:p>
        </w:tc>
      </w:tr>
      <w:tr w:rsidR="007F3F9F" w:rsidRPr="002F229D" w14:paraId="14F06E5C" w14:textId="77777777" w:rsidTr="00FC590C">
        <w:trPr>
          <w:trHeight w:val="2234"/>
        </w:trPr>
        <w:tc>
          <w:tcPr>
            <w:tcW w:w="9335" w:type="dxa"/>
            <w:gridSpan w:val="2"/>
          </w:tcPr>
          <w:p w14:paraId="006C1DF4" w14:textId="5EEEF6F4" w:rsidR="007F3F9F" w:rsidRPr="00B26B2A" w:rsidRDefault="005C4FD0" w:rsidP="00B26B2A">
            <w:pPr>
              <w:pStyle w:val="TableParagraph"/>
              <w:spacing w:before="60"/>
              <w:ind w:left="150" w:right="375"/>
              <w:jc w:val="both"/>
              <w:rPr>
                <w:rFonts w:ascii="Arial" w:hAnsi="Arial" w:cs="Arial"/>
                <w:bCs/>
              </w:rPr>
            </w:pPr>
            <w:r w:rsidRPr="002F229D">
              <w:rPr>
                <w:rFonts w:ascii="Arial" w:eastAsia="Arial" w:hAnsi="Arial" w:cs="Arial"/>
                <w:b/>
                <w:lang w:bidi="fr-CA"/>
              </w:rPr>
              <w:t xml:space="preserve">Le GCI cherche à réunir des membres ayant des expériences et des points de vue diversifiés. N’hésitez pas à indiquer toute autre qualité ou caractéristique qui vous semble pertinente pour le GCI : </w:t>
            </w:r>
            <w:r w:rsidRPr="002F229D">
              <w:rPr>
                <w:rFonts w:ascii="Arial" w:eastAsia="Arial" w:hAnsi="Arial" w:cs="Arial"/>
                <w:i/>
                <w:sz w:val="16"/>
                <w:lang w:bidi="fr-CA"/>
              </w:rPr>
              <w:t>Par exemple : représentation géographique, sexe, âge, langue, etc.</w:t>
            </w:r>
          </w:p>
          <w:p w14:paraId="4EC5CA58" w14:textId="77777777" w:rsidR="007F3F9F" w:rsidRPr="00B26B2A" w:rsidRDefault="007F3F9F" w:rsidP="00905B49">
            <w:pPr>
              <w:pStyle w:val="TableParagraph"/>
              <w:spacing w:before="60"/>
              <w:ind w:left="28" w:right="656"/>
              <w:jc w:val="both"/>
              <w:rPr>
                <w:rFonts w:ascii="Arial" w:hAnsi="Arial" w:cs="Arial"/>
                <w:b/>
              </w:rPr>
            </w:pPr>
          </w:p>
        </w:tc>
      </w:tr>
      <w:tr w:rsidR="007F3F9F" w:rsidRPr="002F229D" w14:paraId="23560124" w14:textId="77777777" w:rsidTr="009409B4">
        <w:trPr>
          <w:trHeight w:val="976"/>
        </w:trPr>
        <w:tc>
          <w:tcPr>
            <w:tcW w:w="4565" w:type="dxa"/>
          </w:tcPr>
          <w:p w14:paraId="66C67CF0" w14:textId="33C7639B" w:rsidR="007F3F9F" w:rsidRPr="00B26B2A" w:rsidRDefault="007F3F9F" w:rsidP="00ED7B0C">
            <w:pPr>
              <w:pStyle w:val="TableParagraph"/>
              <w:spacing w:before="60"/>
              <w:ind w:left="150"/>
              <w:rPr>
                <w:rFonts w:ascii="Arial" w:hAnsi="Arial" w:cs="Arial"/>
                <w:sz w:val="18"/>
              </w:rPr>
            </w:pPr>
            <w:r w:rsidRPr="002F229D">
              <w:rPr>
                <w:rFonts w:ascii="Arial" w:eastAsia="Arial" w:hAnsi="Arial" w:cs="Arial"/>
                <w:b/>
                <w:lang w:bidi="fr-CA"/>
              </w:rPr>
              <w:t>Mis en candidature par :</w:t>
            </w:r>
            <w:r w:rsidRPr="002F229D">
              <w:rPr>
                <w:rFonts w:ascii="Arial" w:eastAsia="Arial" w:hAnsi="Arial" w:cs="Arial"/>
                <w:sz w:val="18"/>
                <w:lang w:bidi="fr-CA"/>
              </w:rPr>
              <w:t xml:space="preserve"> [Nom complet]</w:t>
            </w:r>
          </w:p>
          <w:p w14:paraId="67B3E1E5" w14:textId="36A26E6C" w:rsidR="007F3F9F" w:rsidRPr="00B26B2A" w:rsidRDefault="007F3F9F" w:rsidP="00ED7B0C">
            <w:pPr>
              <w:pStyle w:val="TableParagraph"/>
              <w:spacing w:before="60"/>
              <w:ind w:left="150"/>
              <w:rPr>
                <w:rFonts w:ascii="Arial" w:hAnsi="Arial" w:cs="Arial"/>
                <w:sz w:val="24"/>
              </w:rPr>
            </w:pPr>
          </w:p>
        </w:tc>
        <w:tc>
          <w:tcPr>
            <w:tcW w:w="4770" w:type="dxa"/>
          </w:tcPr>
          <w:p w14:paraId="7AEDFECE" w14:textId="4276E26A" w:rsidR="007F3F9F" w:rsidRPr="002F229D" w:rsidRDefault="00031045" w:rsidP="00ED7B0C">
            <w:pPr>
              <w:pStyle w:val="TableParagraph"/>
              <w:spacing w:before="60"/>
              <w:ind w:left="195"/>
              <w:rPr>
                <w:rFonts w:ascii="Arial" w:hAnsi="Arial" w:cs="Arial"/>
                <w:sz w:val="24"/>
                <w:lang w:val="en-CA"/>
              </w:rPr>
            </w:pPr>
            <w:hyperlink r:id="rId13">
              <w:r w:rsidR="007F3F9F" w:rsidRPr="002F229D">
                <w:rPr>
                  <w:rFonts w:ascii="Arial" w:eastAsia="Arial" w:hAnsi="Arial" w:cs="Arial"/>
                  <w:b/>
                  <w:lang w:bidi="fr-CA"/>
                </w:rPr>
                <w:t>Coordonnées :</w:t>
              </w:r>
              <w:r w:rsidR="007F3F9F" w:rsidRPr="002F229D">
                <w:rPr>
                  <w:rFonts w:ascii="Arial" w:eastAsia="Arial" w:hAnsi="Arial" w:cs="Arial"/>
                  <w:position w:val="2"/>
                  <w:sz w:val="24"/>
                  <w:lang w:bidi="fr-CA"/>
                </w:rPr>
                <w:t xml:space="preserve"> </w:t>
              </w:r>
            </w:hyperlink>
          </w:p>
          <w:p w14:paraId="17552544" w14:textId="2AE69F25" w:rsidR="007F3F9F" w:rsidRPr="002F229D" w:rsidRDefault="007F3F9F" w:rsidP="00ED7B0C">
            <w:pPr>
              <w:pStyle w:val="TableParagraph"/>
              <w:tabs>
                <w:tab w:val="right" w:pos="3516"/>
              </w:tabs>
              <w:spacing w:before="60"/>
              <w:ind w:left="195"/>
              <w:rPr>
                <w:rFonts w:ascii="Arial" w:hAnsi="Arial" w:cs="Arial"/>
                <w:sz w:val="24"/>
                <w:lang w:val="en-CA"/>
              </w:rPr>
            </w:pPr>
            <w:r w:rsidRPr="002F229D">
              <w:rPr>
                <w:rFonts w:ascii="Arial" w:eastAsia="Arial" w:hAnsi="Arial" w:cs="Arial"/>
                <w:lang w:bidi="fr-CA"/>
              </w:rPr>
              <w:t>Courriel :</w:t>
            </w:r>
          </w:p>
          <w:p w14:paraId="38836211" w14:textId="77777777" w:rsidR="007F3F9F" w:rsidRPr="002F229D" w:rsidRDefault="007F3F9F" w:rsidP="00ED7B0C">
            <w:pPr>
              <w:pStyle w:val="TableParagraph"/>
              <w:spacing w:before="60"/>
              <w:ind w:left="195"/>
              <w:rPr>
                <w:rFonts w:ascii="Arial" w:hAnsi="Arial" w:cs="Arial"/>
                <w:lang w:val="en-CA"/>
              </w:rPr>
            </w:pPr>
            <w:r w:rsidRPr="002F229D">
              <w:rPr>
                <w:rFonts w:ascii="Arial" w:eastAsia="Arial" w:hAnsi="Arial" w:cs="Arial"/>
                <w:lang w:bidi="fr-CA"/>
              </w:rPr>
              <w:t>Téléphone :</w:t>
            </w:r>
          </w:p>
        </w:tc>
      </w:tr>
      <w:tr w:rsidR="007F3F9F" w:rsidRPr="002F229D" w14:paraId="67878AF3" w14:textId="77777777" w:rsidTr="009409B4">
        <w:trPr>
          <w:trHeight w:val="1416"/>
        </w:trPr>
        <w:tc>
          <w:tcPr>
            <w:tcW w:w="4565" w:type="dxa"/>
          </w:tcPr>
          <w:p w14:paraId="35768930" w14:textId="2768E193" w:rsidR="007F3F9F" w:rsidRPr="00B26B2A" w:rsidRDefault="00905F74" w:rsidP="00ED7B0C">
            <w:pPr>
              <w:pStyle w:val="TableParagraph"/>
              <w:spacing w:before="60"/>
              <w:ind w:left="150" w:right="1173"/>
              <w:rPr>
                <w:rFonts w:ascii="Arial" w:hAnsi="Arial" w:cs="Arial"/>
                <w:b/>
              </w:rPr>
            </w:pPr>
            <w:r w:rsidRPr="002F229D">
              <w:rPr>
                <w:rFonts w:ascii="Arial" w:eastAsia="Arial" w:hAnsi="Arial" w:cs="Arial"/>
                <w:b/>
                <w:lang w:bidi="fr-CA"/>
              </w:rPr>
              <w:t>Le candidat est-il au courant de cette mise en candidature?</w:t>
            </w:r>
          </w:p>
          <w:p w14:paraId="1F79B860" w14:textId="4775024A" w:rsidR="007F3F9F" w:rsidRPr="00B26B2A" w:rsidRDefault="007F3F9F" w:rsidP="00ED7B0C">
            <w:pPr>
              <w:pStyle w:val="TableParagraph"/>
              <w:spacing w:before="60"/>
              <w:ind w:left="150"/>
              <w:rPr>
                <w:rFonts w:ascii="Arial" w:hAnsi="Arial" w:cs="Arial"/>
                <w:sz w:val="24"/>
              </w:rPr>
            </w:pPr>
          </w:p>
        </w:tc>
        <w:tc>
          <w:tcPr>
            <w:tcW w:w="4770" w:type="dxa"/>
          </w:tcPr>
          <w:p w14:paraId="59788C7F" w14:textId="1B3E6AAB" w:rsidR="007F3F9F" w:rsidRPr="00B26B2A" w:rsidRDefault="00905F74" w:rsidP="00ED7B0C">
            <w:pPr>
              <w:pStyle w:val="TableParagraph"/>
              <w:spacing w:before="60"/>
              <w:ind w:left="195"/>
              <w:rPr>
                <w:rFonts w:ascii="Arial" w:hAnsi="Arial" w:cs="Arial"/>
                <w:b/>
              </w:rPr>
            </w:pPr>
            <w:r w:rsidRPr="002F229D">
              <w:rPr>
                <w:rFonts w:ascii="Arial" w:eastAsia="Arial" w:hAnsi="Arial" w:cs="Arial"/>
                <w:b/>
                <w:lang w:bidi="fr-CA"/>
              </w:rPr>
              <w:t>Le CV du candidat est-il joint?</w:t>
            </w:r>
          </w:p>
          <w:p w14:paraId="00B2D44F" w14:textId="77777777" w:rsidR="007F3F9F" w:rsidRPr="00B26B2A" w:rsidRDefault="007F3F9F" w:rsidP="00ED7B0C">
            <w:pPr>
              <w:pStyle w:val="TableParagraph"/>
              <w:spacing w:before="60"/>
              <w:ind w:left="195" w:right="263"/>
              <w:rPr>
                <w:rFonts w:ascii="Arial" w:hAnsi="Arial" w:cs="Arial"/>
                <w:sz w:val="18"/>
              </w:rPr>
            </w:pPr>
            <w:r w:rsidRPr="002F229D">
              <w:rPr>
                <w:rFonts w:ascii="Arial" w:eastAsia="Arial" w:hAnsi="Arial" w:cs="Arial"/>
                <w:sz w:val="18"/>
                <w:lang w:bidi="fr-CA"/>
              </w:rPr>
              <w:t>[L’évaluation de la candidature du candidat exige un CV. Le candidat peut également le fournir lui-même.]</w:t>
            </w:r>
          </w:p>
        </w:tc>
      </w:tr>
    </w:tbl>
    <w:p w14:paraId="1FF274F5" w14:textId="77777777" w:rsidR="0026480C" w:rsidRPr="00FB2F8F" w:rsidRDefault="0026480C" w:rsidP="00A75A3B">
      <w:pPr>
        <w:pStyle w:val="BodyText"/>
        <w:spacing w:before="1"/>
        <w:ind w:left="119" w:right="157"/>
        <w:jc w:val="both"/>
        <w:rPr>
          <w:rFonts w:ascii="Arial" w:hAnsi="Arial" w:cs="Arial"/>
        </w:rPr>
      </w:pPr>
    </w:p>
    <w:sectPr w:rsidR="0026480C" w:rsidRPr="00FB2F8F">
      <w:pgSz w:w="12240" w:h="15840"/>
      <w:pgMar w:top="1500" w:right="128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D9C034" w14:textId="77777777" w:rsidR="00A97E3B" w:rsidRDefault="00A97E3B" w:rsidP="00B26B2A">
      <w:r>
        <w:separator/>
      </w:r>
    </w:p>
  </w:endnote>
  <w:endnote w:type="continuationSeparator" w:id="0">
    <w:p w14:paraId="4B96B238" w14:textId="77777777" w:rsidR="00A97E3B" w:rsidRDefault="00A97E3B" w:rsidP="00B26B2A">
      <w:r>
        <w:continuationSeparator/>
      </w:r>
    </w:p>
  </w:endnote>
  <w:endnote w:type="continuationNotice" w:id="1">
    <w:p w14:paraId="3AC89238" w14:textId="77777777" w:rsidR="00031045" w:rsidRDefault="000310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40324A" w14:textId="77777777" w:rsidR="00A97E3B" w:rsidRDefault="00A97E3B" w:rsidP="00B26B2A">
      <w:r>
        <w:separator/>
      </w:r>
    </w:p>
  </w:footnote>
  <w:footnote w:type="continuationSeparator" w:id="0">
    <w:p w14:paraId="4CDE15A7" w14:textId="77777777" w:rsidR="00A97E3B" w:rsidRDefault="00A97E3B" w:rsidP="00B26B2A">
      <w:r>
        <w:continuationSeparator/>
      </w:r>
    </w:p>
  </w:footnote>
  <w:footnote w:type="continuationNotice" w:id="1">
    <w:p w14:paraId="14C13835" w14:textId="77777777" w:rsidR="00031045" w:rsidRDefault="0003104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92B84"/>
    <w:multiLevelType w:val="hybridMultilevel"/>
    <w:tmpl w:val="2EAABC14"/>
    <w:lvl w:ilvl="0" w:tplc="F0E2AF36">
      <w:numFmt w:val="bullet"/>
      <w:lvlText w:val=""/>
      <w:lvlJc w:val="left"/>
      <w:pPr>
        <w:ind w:left="839" w:hanging="360"/>
      </w:pPr>
      <w:rPr>
        <w:rFonts w:ascii="Symbol" w:eastAsia="Symbol" w:hAnsi="Symbol" w:cs="Symbol" w:hint="default"/>
        <w:w w:val="99"/>
        <w:sz w:val="22"/>
        <w:szCs w:val="22"/>
      </w:rPr>
    </w:lvl>
    <w:lvl w:ilvl="1" w:tplc="21D076EC">
      <w:numFmt w:val="bullet"/>
      <w:lvlText w:val="•"/>
      <w:lvlJc w:val="left"/>
      <w:pPr>
        <w:ind w:left="1720" w:hanging="360"/>
      </w:pPr>
      <w:rPr>
        <w:rFonts w:hint="default"/>
      </w:rPr>
    </w:lvl>
    <w:lvl w:ilvl="2" w:tplc="C43CC18E">
      <w:numFmt w:val="bullet"/>
      <w:lvlText w:val="•"/>
      <w:lvlJc w:val="left"/>
      <w:pPr>
        <w:ind w:left="2600" w:hanging="360"/>
      </w:pPr>
      <w:rPr>
        <w:rFonts w:hint="default"/>
      </w:rPr>
    </w:lvl>
    <w:lvl w:ilvl="3" w:tplc="FC5E398A">
      <w:numFmt w:val="bullet"/>
      <w:lvlText w:val="•"/>
      <w:lvlJc w:val="left"/>
      <w:pPr>
        <w:ind w:left="3480" w:hanging="360"/>
      </w:pPr>
      <w:rPr>
        <w:rFonts w:hint="default"/>
      </w:rPr>
    </w:lvl>
    <w:lvl w:ilvl="4" w:tplc="D6F89390">
      <w:numFmt w:val="bullet"/>
      <w:lvlText w:val="•"/>
      <w:lvlJc w:val="left"/>
      <w:pPr>
        <w:ind w:left="4360" w:hanging="360"/>
      </w:pPr>
      <w:rPr>
        <w:rFonts w:hint="default"/>
      </w:rPr>
    </w:lvl>
    <w:lvl w:ilvl="5" w:tplc="8A38EB78">
      <w:numFmt w:val="bullet"/>
      <w:lvlText w:val="•"/>
      <w:lvlJc w:val="left"/>
      <w:pPr>
        <w:ind w:left="5240" w:hanging="360"/>
      </w:pPr>
      <w:rPr>
        <w:rFonts w:hint="default"/>
      </w:rPr>
    </w:lvl>
    <w:lvl w:ilvl="6" w:tplc="1086222E">
      <w:numFmt w:val="bullet"/>
      <w:lvlText w:val="•"/>
      <w:lvlJc w:val="left"/>
      <w:pPr>
        <w:ind w:left="6120" w:hanging="360"/>
      </w:pPr>
      <w:rPr>
        <w:rFonts w:hint="default"/>
      </w:rPr>
    </w:lvl>
    <w:lvl w:ilvl="7" w:tplc="BE8EDEB2">
      <w:numFmt w:val="bullet"/>
      <w:lvlText w:val="•"/>
      <w:lvlJc w:val="left"/>
      <w:pPr>
        <w:ind w:left="7000" w:hanging="360"/>
      </w:pPr>
      <w:rPr>
        <w:rFonts w:hint="default"/>
      </w:rPr>
    </w:lvl>
    <w:lvl w:ilvl="8" w:tplc="EA3E0CC2">
      <w:numFmt w:val="bullet"/>
      <w:lvlText w:val="•"/>
      <w:lvlJc w:val="left"/>
      <w:pPr>
        <w:ind w:left="7880" w:hanging="360"/>
      </w:pPr>
      <w:rPr>
        <w:rFonts w:hint="default"/>
      </w:rPr>
    </w:lvl>
  </w:abstractNum>
  <w:abstractNum w:abstractNumId="1" w15:restartNumberingAfterBreak="0">
    <w:nsid w:val="337668B4"/>
    <w:multiLevelType w:val="hybridMultilevel"/>
    <w:tmpl w:val="33D0065A"/>
    <w:lvl w:ilvl="0" w:tplc="1354DF42">
      <w:start w:val="1"/>
      <w:numFmt w:val="decimal"/>
      <w:lvlText w:val="%1."/>
      <w:lvlJc w:val="left"/>
      <w:pPr>
        <w:ind w:left="828" w:hanging="361"/>
      </w:pPr>
      <w:rPr>
        <w:rFonts w:ascii="Calibri" w:eastAsia="Calibri" w:hAnsi="Calibri" w:cs="Calibri" w:hint="default"/>
        <w:w w:val="99"/>
        <w:sz w:val="22"/>
        <w:szCs w:val="22"/>
      </w:rPr>
    </w:lvl>
    <w:lvl w:ilvl="1" w:tplc="619C3D58">
      <w:numFmt w:val="bullet"/>
      <w:lvlText w:val="•"/>
      <w:lvlJc w:val="left"/>
      <w:pPr>
        <w:ind w:left="1680" w:hanging="361"/>
      </w:pPr>
      <w:rPr>
        <w:rFonts w:hint="default"/>
      </w:rPr>
    </w:lvl>
    <w:lvl w:ilvl="2" w:tplc="CE369BFC">
      <w:numFmt w:val="bullet"/>
      <w:lvlText w:val="•"/>
      <w:lvlJc w:val="left"/>
      <w:pPr>
        <w:ind w:left="2540" w:hanging="361"/>
      </w:pPr>
      <w:rPr>
        <w:rFonts w:hint="default"/>
      </w:rPr>
    </w:lvl>
    <w:lvl w:ilvl="3" w:tplc="851E41E2">
      <w:numFmt w:val="bullet"/>
      <w:lvlText w:val="•"/>
      <w:lvlJc w:val="left"/>
      <w:pPr>
        <w:ind w:left="3400" w:hanging="361"/>
      </w:pPr>
      <w:rPr>
        <w:rFonts w:hint="default"/>
      </w:rPr>
    </w:lvl>
    <w:lvl w:ilvl="4" w:tplc="0C44C76C">
      <w:numFmt w:val="bullet"/>
      <w:lvlText w:val="•"/>
      <w:lvlJc w:val="left"/>
      <w:pPr>
        <w:ind w:left="4260" w:hanging="361"/>
      </w:pPr>
      <w:rPr>
        <w:rFonts w:hint="default"/>
      </w:rPr>
    </w:lvl>
    <w:lvl w:ilvl="5" w:tplc="0B0E7538">
      <w:numFmt w:val="bullet"/>
      <w:lvlText w:val="•"/>
      <w:lvlJc w:val="left"/>
      <w:pPr>
        <w:ind w:left="5120" w:hanging="361"/>
      </w:pPr>
      <w:rPr>
        <w:rFonts w:hint="default"/>
      </w:rPr>
    </w:lvl>
    <w:lvl w:ilvl="6" w:tplc="6FFE03E0">
      <w:numFmt w:val="bullet"/>
      <w:lvlText w:val="•"/>
      <w:lvlJc w:val="left"/>
      <w:pPr>
        <w:ind w:left="5980" w:hanging="361"/>
      </w:pPr>
      <w:rPr>
        <w:rFonts w:hint="default"/>
      </w:rPr>
    </w:lvl>
    <w:lvl w:ilvl="7" w:tplc="2146F120">
      <w:numFmt w:val="bullet"/>
      <w:lvlText w:val="•"/>
      <w:lvlJc w:val="left"/>
      <w:pPr>
        <w:ind w:left="6840" w:hanging="361"/>
      </w:pPr>
      <w:rPr>
        <w:rFonts w:hint="default"/>
      </w:rPr>
    </w:lvl>
    <w:lvl w:ilvl="8" w:tplc="DD56E14E">
      <w:numFmt w:val="bullet"/>
      <w:lvlText w:val="•"/>
      <w:lvlJc w:val="left"/>
      <w:pPr>
        <w:ind w:left="7700" w:hanging="361"/>
      </w:pPr>
      <w:rPr>
        <w:rFonts w:hint="default"/>
      </w:rPr>
    </w:lvl>
  </w:abstractNum>
  <w:abstractNum w:abstractNumId="2" w15:restartNumberingAfterBreak="0">
    <w:nsid w:val="5CFA2EAA"/>
    <w:multiLevelType w:val="hybridMultilevel"/>
    <w:tmpl w:val="E364191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701051205">
    <w:abstractNumId w:val="1"/>
  </w:num>
  <w:num w:numId="2" w16cid:durableId="294071139">
    <w:abstractNumId w:val="0"/>
  </w:num>
  <w:num w:numId="3" w16cid:durableId="9057952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oNotDisplayPageBoundaries/>
  <w:defaultTabStop w:val="720"/>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80C"/>
    <w:rsid w:val="00010A38"/>
    <w:rsid w:val="00024476"/>
    <w:rsid w:val="00031045"/>
    <w:rsid w:val="000335A9"/>
    <w:rsid w:val="000551BF"/>
    <w:rsid w:val="00063AC6"/>
    <w:rsid w:val="000B7428"/>
    <w:rsid w:val="001058C4"/>
    <w:rsid w:val="001E319E"/>
    <w:rsid w:val="00221C29"/>
    <w:rsid w:val="00257624"/>
    <w:rsid w:val="0026480C"/>
    <w:rsid w:val="00265D32"/>
    <w:rsid w:val="002A7531"/>
    <w:rsid w:val="002D06E7"/>
    <w:rsid w:val="002E78CE"/>
    <w:rsid w:val="002F229D"/>
    <w:rsid w:val="003064E0"/>
    <w:rsid w:val="003531CE"/>
    <w:rsid w:val="003C6AD3"/>
    <w:rsid w:val="003D2505"/>
    <w:rsid w:val="003D6A1C"/>
    <w:rsid w:val="004024B8"/>
    <w:rsid w:val="004027EA"/>
    <w:rsid w:val="004120FE"/>
    <w:rsid w:val="00441CE2"/>
    <w:rsid w:val="0044620B"/>
    <w:rsid w:val="0044795E"/>
    <w:rsid w:val="0048012B"/>
    <w:rsid w:val="004A2034"/>
    <w:rsid w:val="004A5CA8"/>
    <w:rsid w:val="004C3C0D"/>
    <w:rsid w:val="004D3488"/>
    <w:rsid w:val="004E0DD0"/>
    <w:rsid w:val="00527BCD"/>
    <w:rsid w:val="00534D34"/>
    <w:rsid w:val="00541E52"/>
    <w:rsid w:val="0055575A"/>
    <w:rsid w:val="00572735"/>
    <w:rsid w:val="0057445A"/>
    <w:rsid w:val="00582CD2"/>
    <w:rsid w:val="005925A3"/>
    <w:rsid w:val="00595C34"/>
    <w:rsid w:val="005B5669"/>
    <w:rsid w:val="005B5CEE"/>
    <w:rsid w:val="005C4FD0"/>
    <w:rsid w:val="005E407E"/>
    <w:rsid w:val="005F6780"/>
    <w:rsid w:val="00603DE2"/>
    <w:rsid w:val="00614104"/>
    <w:rsid w:val="006147BF"/>
    <w:rsid w:val="00676A38"/>
    <w:rsid w:val="006A6B43"/>
    <w:rsid w:val="006D4F8C"/>
    <w:rsid w:val="006F0460"/>
    <w:rsid w:val="006F3224"/>
    <w:rsid w:val="006F4458"/>
    <w:rsid w:val="00710D74"/>
    <w:rsid w:val="007304AB"/>
    <w:rsid w:val="00733EA7"/>
    <w:rsid w:val="007625A8"/>
    <w:rsid w:val="00780AC7"/>
    <w:rsid w:val="00793853"/>
    <w:rsid w:val="007C31E1"/>
    <w:rsid w:val="007F3F9F"/>
    <w:rsid w:val="00804C06"/>
    <w:rsid w:val="00815522"/>
    <w:rsid w:val="00831357"/>
    <w:rsid w:val="00832ED7"/>
    <w:rsid w:val="00855722"/>
    <w:rsid w:val="0086057E"/>
    <w:rsid w:val="00880F2C"/>
    <w:rsid w:val="008A4344"/>
    <w:rsid w:val="008C02EC"/>
    <w:rsid w:val="008C0EC7"/>
    <w:rsid w:val="008C1594"/>
    <w:rsid w:val="008C4AE8"/>
    <w:rsid w:val="008C591F"/>
    <w:rsid w:val="00905B49"/>
    <w:rsid w:val="00905F74"/>
    <w:rsid w:val="00906201"/>
    <w:rsid w:val="009069F9"/>
    <w:rsid w:val="00914489"/>
    <w:rsid w:val="00923C8D"/>
    <w:rsid w:val="00924D2D"/>
    <w:rsid w:val="009409B4"/>
    <w:rsid w:val="0094556F"/>
    <w:rsid w:val="00963E4B"/>
    <w:rsid w:val="009B6DC1"/>
    <w:rsid w:val="009C211E"/>
    <w:rsid w:val="009D69EB"/>
    <w:rsid w:val="009E5955"/>
    <w:rsid w:val="00A17E1F"/>
    <w:rsid w:val="00A73F4D"/>
    <w:rsid w:val="00A75A3B"/>
    <w:rsid w:val="00A77213"/>
    <w:rsid w:val="00A97E3B"/>
    <w:rsid w:val="00AB261F"/>
    <w:rsid w:val="00B137F6"/>
    <w:rsid w:val="00B15B80"/>
    <w:rsid w:val="00B16D44"/>
    <w:rsid w:val="00B26B2A"/>
    <w:rsid w:val="00B43B67"/>
    <w:rsid w:val="00B536C8"/>
    <w:rsid w:val="00B77922"/>
    <w:rsid w:val="00B82339"/>
    <w:rsid w:val="00B82EF6"/>
    <w:rsid w:val="00BE77DF"/>
    <w:rsid w:val="00C53CE3"/>
    <w:rsid w:val="00CA3B99"/>
    <w:rsid w:val="00CD37F3"/>
    <w:rsid w:val="00CE5DEF"/>
    <w:rsid w:val="00CF7F28"/>
    <w:rsid w:val="00D540C4"/>
    <w:rsid w:val="00DA30F6"/>
    <w:rsid w:val="00DD46E9"/>
    <w:rsid w:val="00E15B43"/>
    <w:rsid w:val="00E40C9D"/>
    <w:rsid w:val="00E54F39"/>
    <w:rsid w:val="00E63E80"/>
    <w:rsid w:val="00E722C5"/>
    <w:rsid w:val="00E757C5"/>
    <w:rsid w:val="00E84C6B"/>
    <w:rsid w:val="00E85981"/>
    <w:rsid w:val="00E90E65"/>
    <w:rsid w:val="00EA2EFB"/>
    <w:rsid w:val="00EC6874"/>
    <w:rsid w:val="00ED7B0C"/>
    <w:rsid w:val="00F91711"/>
    <w:rsid w:val="00FA450C"/>
    <w:rsid w:val="00FA7C51"/>
    <w:rsid w:val="00FB2F8F"/>
    <w:rsid w:val="00FC590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C78E5"/>
  <w15:docId w15:val="{7911BC8D-DDCC-4802-97E1-44ADACDB2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CA"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39" w:hanging="359"/>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536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6C8"/>
    <w:rPr>
      <w:rFonts w:ascii="Segoe UI" w:eastAsia="Calibri" w:hAnsi="Segoe UI" w:cs="Segoe UI"/>
      <w:sz w:val="18"/>
      <w:szCs w:val="18"/>
    </w:rPr>
  </w:style>
  <w:style w:type="character" w:styleId="Hyperlink">
    <w:name w:val="Hyperlink"/>
    <w:basedOn w:val="DefaultParagraphFont"/>
    <w:uiPriority w:val="99"/>
    <w:unhideWhenUsed/>
    <w:rsid w:val="002D06E7"/>
    <w:rPr>
      <w:color w:val="0000FF" w:themeColor="hyperlink"/>
      <w:u w:val="single"/>
    </w:rPr>
  </w:style>
  <w:style w:type="character" w:styleId="UnresolvedMention">
    <w:name w:val="Unresolved Mention"/>
    <w:basedOn w:val="DefaultParagraphFont"/>
    <w:uiPriority w:val="99"/>
    <w:semiHidden/>
    <w:unhideWhenUsed/>
    <w:rsid w:val="002D06E7"/>
    <w:rPr>
      <w:color w:val="605E5C"/>
      <w:shd w:val="clear" w:color="auto" w:fill="E1DFDD"/>
    </w:rPr>
  </w:style>
  <w:style w:type="character" w:styleId="CommentReference">
    <w:name w:val="annotation reference"/>
    <w:basedOn w:val="DefaultParagraphFont"/>
    <w:uiPriority w:val="99"/>
    <w:semiHidden/>
    <w:unhideWhenUsed/>
    <w:rsid w:val="00C53CE3"/>
    <w:rPr>
      <w:sz w:val="16"/>
      <w:szCs w:val="16"/>
    </w:rPr>
  </w:style>
  <w:style w:type="paragraph" w:styleId="CommentText">
    <w:name w:val="annotation text"/>
    <w:basedOn w:val="Normal"/>
    <w:link w:val="CommentTextChar"/>
    <w:uiPriority w:val="99"/>
    <w:semiHidden/>
    <w:unhideWhenUsed/>
    <w:rsid w:val="00C53CE3"/>
    <w:rPr>
      <w:sz w:val="20"/>
      <w:szCs w:val="20"/>
    </w:rPr>
  </w:style>
  <w:style w:type="character" w:customStyle="1" w:styleId="CommentTextChar">
    <w:name w:val="Comment Text Char"/>
    <w:basedOn w:val="DefaultParagraphFont"/>
    <w:link w:val="CommentText"/>
    <w:uiPriority w:val="99"/>
    <w:semiHidden/>
    <w:rsid w:val="00C53CE3"/>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53CE3"/>
    <w:rPr>
      <w:b/>
      <w:bCs/>
    </w:rPr>
  </w:style>
  <w:style w:type="character" w:customStyle="1" w:styleId="CommentSubjectChar">
    <w:name w:val="Comment Subject Char"/>
    <w:basedOn w:val="CommentTextChar"/>
    <w:link w:val="CommentSubject"/>
    <w:uiPriority w:val="99"/>
    <w:semiHidden/>
    <w:rsid w:val="00C53CE3"/>
    <w:rPr>
      <w:rFonts w:ascii="Calibri" w:eastAsia="Calibri" w:hAnsi="Calibri" w:cs="Calibri"/>
      <w:b/>
      <w:bCs/>
      <w:sz w:val="20"/>
      <w:szCs w:val="20"/>
    </w:rPr>
  </w:style>
  <w:style w:type="paragraph" w:styleId="Header">
    <w:name w:val="header"/>
    <w:basedOn w:val="Normal"/>
    <w:link w:val="HeaderChar"/>
    <w:uiPriority w:val="99"/>
    <w:unhideWhenUsed/>
    <w:rsid w:val="00B26B2A"/>
    <w:pPr>
      <w:tabs>
        <w:tab w:val="center" w:pos="4320"/>
        <w:tab w:val="right" w:pos="8640"/>
      </w:tabs>
    </w:pPr>
  </w:style>
  <w:style w:type="character" w:customStyle="1" w:styleId="HeaderChar">
    <w:name w:val="Header Char"/>
    <w:basedOn w:val="DefaultParagraphFont"/>
    <w:link w:val="Header"/>
    <w:uiPriority w:val="99"/>
    <w:rsid w:val="00B26B2A"/>
    <w:rPr>
      <w:rFonts w:ascii="Calibri" w:eastAsia="Calibri" w:hAnsi="Calibri" w:cs="Calibri"/>
    </w:rPr>
  </w:style>
  <w:style w:type="paragraph" w:styleId="Footer">
    <w:name w:val="footer"/>
    <w:basedOn w:val="Normal"/>
    <w:link w:val="FooterChar"/>
    <w:uiPriority w:val="99"/>
    <w:unhideWhenUsed/>
    <w:rsid w:val="00B26B2A"/>
    <w:pPr>
      <w:tabs>
        <w:tab w:val="center" w:pos="4320"/>
        <w:tab w:val="right" w:pos="8640"/>
      </w:tabs>
    </w:pPr>
  </w:style>
  <w:style w:type="character" w:customStyle="1" w:styleId="FooterChar">
    <w:name w:val="Footer Char"/>
    <w:basedOn w:val="DefaultParagraphFont"/>
    <w:link w:val="Footer"/>
    <w:uiPriority w:val="99"/>
    <w:rsid w:val="00B26B2A"/>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32349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yle@thestarfish.ca"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tsm@mining.c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ining.ca/fr/vers-le-developpement-minier-durable/le-groupe-consultatif-des-communautes-dinteret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tsminitiative.com/"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4066A1A4C9FF74E8AAB2575ADD55A7D" ma:contentTypeVersion="18" ma:contentTypeDescription="Create a new document." ma:contentTypeScope="" ma:versionID="33e8baf45df30290eb32cccab4f85f91">
  <xsd:schema xmlns:xsd="http://www.w3.org/2001/XMLSchema" xmlns:xs="http://www.w3.org/2001/XMLSchema" xmlns:p="http://schemas.microsoft.com/office/2006/metadata/properties" xmlns:ns2="849062cb-870e-4d3d-ae61-c7f8fff7e5de" xmlns:ns3="67ab6dd1-aa23-4775-b784-76a5b3f3d85f" targetNamespace="http://schemas.microsoft.com/office/2006/metadata/properties" ma:root="true" ma:fieldsID="993f5ba0a9a099a4394a007b97e9f943" ns2:_="" ns3:_="">
    <xsd:import namespace="849062cb-870e-4d3d-ae61-c7f8fff7e5de"/>
    <xsd:import namespace="67ab6dd1-aa23-4775-b784-76a5b3f3d85f"/>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9062cb-870e-4d3d-ae61-c7f8fff7e5d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1b7a2b4-7bdf-43fb-9680-425449ef976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ab6dd1-aa23-4775-b784-76a5b3f3d85f"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22fb507-61c4-4fd2-b490-c9925986a904}" ma:internalName="TaxCatchAll" ma:showField="CatchAllData" ma:web="67ab6dd1-aa23-4775-b784-76a5b3f3d8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4BE1B4-4BD8-43DD-BB06-94A0DC33E25E}">
  <ds:schemaRefs>
    <ds:schemaRef ds:uri="http://schemas.microsoft.com/sharepoint/v3/contenttype/forms"/>
  </ds:schemaRefs>
</ds:datastoreItem>
</file>

<file path=customXml/itemProps2.xml><?xml version="1.0" encoding="utf-8"?>
<ds:datastoreItem xmlns:ds="http://schemas.openxmlformats.org/officeDocument/2006/customXml" ds:itemID="{339F4066-BB59-4067-9B69-DDC117FCE3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9062cb-870e-4d3d-ae61-c7f8fff7e5de"/>
    <ds:schemaRef ds:uri="67ab6dd1-aa23-4775-b784-76a5b3f3d8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937</Words>
  <Characters>5156</Characters>
  <Application>Microsoft Office Word</Application>
  <DocSecurity>0</DocSecurity>
  <Lines>42</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Microsoft Word - COI Call for Nominations 2019 - Labour_Jun19</vt:lpstr>
      <vt:lpstr>Microsoft Word - COI Call for Nominations 2019 - Labour_Jun19</vt:lpstr>
    </vt:vector>
  </TitlesOfParts>
  <Company/>
  <LinksUpToDate>false</LinksUpToDate>
  <CharactersWithSpaces>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COI Call for Nominations 2019 - Labour_Jun19</dc:title>
  <dc:creator>tshea</dc:creator>
  <cp:lastModifiedBy>Katherine Gosselin</cp:lastModifiedBy>
  <cp:revision>9</cp:revision>
  <dcterms:created xsi:type="dcterms:W3CDTF">2024-07-18T16:14:00Z</dcterms:created>
  <dcterms:modified xsi:type="dcterms:W3CDTF">2024-07-19T13:58:00Z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2019-06-25T00:00:00Z</vt:filetime>
  </property>
  <property fmtid="{D5CDD505-2E9C-101B-9397-08002B2CF9AE}" pid="3" name="Creator">
    <vt:lpwstr>PScript5.dll Version 5.2.2</vt:lpwstr>
  </property>
  <property fmtid="{D5CDD505-2E9C-101B-9397-08002B2CF9AE}" pid="4" name="LastSaved">
    <vt:filetime>2020-10-23T00:00:00Z</vt:filetime>
  </property>
  <property fmtid="{D5CDD505-2E9C-101B-9397-08002B2CF9AE}" pid="5" name="ContentTypeId">
    <vt:lpwstr>0x01010014066A1A4C9FF74E8AAB2575ADD55A7D</vt:lpwstr>
  </property>
</Properties>
</file>